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3A8" w:rsidRPr="009033A8" w:rsidRDefault="00D42F2C" w:rsidP="00E01BBD">
      <w:pPr>
        <w:ind w:left="142" w:right="368"/>
        <w:jc w:val="center"/>
        <w:rPr>
          <w:b/>
          <w:i/>
          <w:sz w:val="24"/>
          <w:szCs w:val="24"/>
        </w:rPr>
      </w:pPr>
      <w:r>
        <w:rPr>
          <w:b/>
          <w:i/>
          <w:sz w:val="24"/>
          <w:szCs w:val="24"/>
        </w:rPr>
        <w:t xml:space="preserve">Predicción de motosierra </w:t>
      </w:r>
      <w:r w:rsidR="006F7C64">
        <w:rPr>
          <w:b/>
          <w:i/>
          <w:sz w:val="24"/>
          <w:szCs w:val="24"/>
        </w:rPr>
        <w:t>septiembre</w:t>
      </w:r>
      <w:r w:rsidR="004852BA">
        <w:rPr>
          <w:b/>
          <w:i/>
          <w:sz w:val="24"/>
          <w:szCs w:val="24"/>
        </w:rPr>
        <w:t xml:space="preserve"> 24</w:t>
      </w:r>
    </w:p>
    <w:p w:rsidR="009033A8" w:rsidRPr="000A046A" w:rsidRDefault="009033A8" w:rsidP="00E01BBD">
      <w:pPr>
        <w:ind w:left="142" w:right="368"/>
        <w:rPr>
          <w:b/>
          <w:i/>
        </w:rPr>
      </w:pPr>
      <w:r w:rsidRPr="000A046A">
        <w:rPr>
          <w:b/>
          <w:i/>
        </w:rPr>
        <w:t xml:space="preserve">Informe de </w:t>
      </w:r>
      <w:proofErr w:type="spellStart"/>
      <w:r w:rsidR="00833930">
        <w:rPr>
          <w:b/>
          <w:i/>
        </w:rPr>
        <w:t>Terminator</w:t>
      </w:r>
      <w:proofErr w:type="spellEnd"/>
      <w:r>
        <w:rPr>
          <w:b/>
          <w:i/>
        </w:rPr>
        <w:t xml:space="preserve"> del </w:t>
      </w:r>
      <w:r w:rsidR="006F7C64">
        <w:rPr>
          <w:b/>
          <w:i/>
        </w:rPr>
        <w:t>28</w:t>
      </w:r>
      <w:r w:rsidRPr="000A046A">
        <w:rPr>
          <w:b/>
          <w:i/>
        </w:rPr>
        <w:t>/</w:t>
      </w:r>
      <w:r>
        <w:rPr>
          <w:b/>
          <w:i/>
        </w:rPr>
        <w:t>0</w:t>
      </w:r>
      <w:r w:rsidR="006F7C64">
        <w:rPr>
          <w:b/>
          <w:i/>
        </w:rPr>
        <w:t>9</w:t>
      </w:r>
      <w:r>
        <w:rPr>
          <w:b/>
          <w:i/>
        </w:rPr>
        <w:t>/24</w:t>
      </w:r>
    </w:p>
    <w:p w:rsidR="00513579" w:rsidRDefault="001642C3" w:rsidP="00E01BBD">
      <w:pPr>
        <w:pStyle w:val="Prrafodelista"/>
        <w:spacing w:before="60" w:after="60"/>
        <w:ind w:left="142" w:right="368"/>
        <w:contextualSpacing w:val="0"/>
      </w:pPr>
      <w:r>
        <w:t xml:space="preserve">En </w:t>
      </w:r>
      <w:r w:rsidR="008055B1">
        <w:t xml:space="preserve">junio parece encontrarse el piso </w:t>
      </w:r>
      <w:r w:rsidR="00B475AF">
        <w:t>de la recesión</w:t>
      </w:r>
      <w:r w:rsidR="009505C5">
        <w:t xml:space="preserve">. </w:t>
      </w:r>
      <w:r w:rsidR="00E35824">
        <w:t>Si</w:t>
      </w:r>
      <w:r>
        <w:t xml:space="preserve"> agosto </w:t>
      </w:r>
      <w:r w:rsidR="00E35824">
        <w:t>es</w:t>
      </w:r>
      <w:r w:rsidR="009505C5">
        <w:t xml:space="preserve"> el mes de inicio de los “brotes verdes” </w:t>
      </w:r>
      <w:r w:rsidR="007F1A94">
        <w:t xml:space="preserve">con esta política económica </w:t>
      </w:r>
      <w:r w:rsidR="009505C5">
        <w:t xml:space="preserve">es </w:t>
      </w:r>
      <w:r w:rsidR="00E35824">
        <w:t xml:space="preserve">por ahora </w:t>
      </w:r>
      <w:r w:rsidR="009505C5">
        <w:t xml:space="preserve">una adivinanza. </w:t>
      </w:r>
      <w:r w:rsidR="00513579">
        <w:t>En este caso</w:t>
      </w:r>
      <w:r w:rsidR="00E35824">
        <w:t>, como en la edición anterior,</w:t>
      </w:r>
      <w:r w:rsidR="00513579">
        <w:t xml:space="preserve"> hemos agregado un cuadro que hace una comparación mensual de algunos indicadores que</w:t>
      </w:r>
      <w:r>
        <w:t>, si bien</w:t>
      </w:r>
      <w:r w:rsidR="00513579">
        <w:t xml:space="preserve"> no es técnicamente corre</w:t>
      </w:r>
      <w:r w:rsidR="005715E7">
        <w:t>cto</w:t>
      </w:r>
      <w:r>
        <w:t>, al menos</w:t>
      </w:r>
      <w:r w:rsidR="00513579">
        <w:t xml:space="preserve"> sirve para darnos una visión de corto plazo en relación </w:t>
      </w:r>
      <w:r>
        <w:t>con</w:t>
      </w:r>
      <w:r w:rsidR="00513579">
        <w:t xml:space="preserve"> la posibilidad </w:t>
      </w:r>
      <w:r w:rsidR="007F1A94">
        <w:t xml:space="preserve">de detectar </w:t>
      </w:r>
      <w:r w:rsidR="00513579">
        <w:t>algunos movilizadores de la actividad económica.</w:t>
      </w:r>
    </w:p>
    <w:p w:rsidR="00B475AF" w:rsidRDefault="00513579" w:rsidP="00E01BBD">
      <w:pPr>
        <w:pStyle w:val="Prrafodelista"/>
        <w:spacing w:before="60" w:after="60"/>
        <w:ind w:left="142" w:right="368"/>
        <w:contextualSpacing w:val="0"/>
      </w:pPr>
      <w:r>
        <w:t>Aun así en e</w:t>
      </w:r>
      <w:r w:rsidR="009505C5">
        <w:t>l</w:t>
      </w:r>
      <w:r w:rsidR="00B475AF">
        <w:t xml:space="preserve"> cuadro </w:t>
      </w:r>
      <w:r w:rsidR="001642C3">
        <w:t>1</w:t>
      </w:r>
      <w:r w:rsidR="00B475AF">
        <w:t xml:space="preserve">, </w:t>
      </w:r>
      <w:r>
        <w:t xml:space="preserve">aunque </w:t>
      </w:r>
      <w:r w:rsidR="00B475AF">
        <w:t xml:space="preserve">faltan datos claves del mes de </w:t>
      </w:r>
      <w:r w:rsidR="00E35824">
        <w:t>agosto</w:t>
      </w:r>
      <w:r w:rsidR="009505C5">
        <w:t>, l</w:t>
      </w:r>
      <w:r w:rsidR="00443628">
        <w:t xml:space="preserve">a recuperación </w:t>
      </w:r>
      <w:r w:rsidR="00B475AF">
        <w:t xml:space="preserve">no muestra signos de ser muy vigorosa </w:t>
      </w:r>
      <w:r w:rsidR="00E35824">
        <w:t>aunque e</w:t>
      </w:r>
      <w:r w:rsidR="009505C5">
        <w:t xml:space="preserve">s posible que </w:t>
      </w:r>
      <w:r w:rsidR="001642C3">
        <w:t xml:space="preserve">aparezcan </w:t>
      </w:r>
      <w:r w:rsidR="009505C5">
        <w:t xml:space="preserve">algunos </w:t>
      </w:r>
      <w:r w:rsidR="002532FA">
        <w:t>movilizadores</w:t>
      </w:r>
      <w:r w:rsidR="005715E7">
        <w:t xml:space="preserve"> y</w:t>
      </w:r>
      <w:r w:rsidR="009505C5">
        <w:t xml:space="preserve"> permitan pensar que </w:t>
      </w:r>
      <w:r w:rsidR="002532FA">
        <w:t>mayo y junio</w:t>
      </w:r>
      <w:r w:rsidR="005715E7">
        <w:t xml:space="preserve"> serán el </w:t>
      </w:r>
      <w:r w:rsidR="009505C5">
        <w:t>piso</w:t>
      </w:r>
      <w:r w:rsidR="005715E7">
        <w:t xml:space="preserve"> (</w:t>
      </w:r>
      <w:r w:rsidR="009505C5">
        <w:t xml:space="preserve">realmente más bajo que hasta ahora es </w:t>
      </w:r>
      <w:r>
        <w:t>difícil que o</w:t>
      </w:r>
      <w:r w:rsidR="009505C5">
        <w:t>curra</w:t>
      </w:r>
      <w:r w:rsidR="005715E7">
        <w:t>)</w:t>
      </w:r>
      <w:r w:rsidR="009505C5">
        <w:t xml:space="preserve">. </w:t>
      </w:r>
      <w:r>
        <w:t xml:space="preserve">Como </w:t>
      </w:r>
      <w:r w:rsidR="00CE6FCC">
        <w:t xml:space="preserve">sigue </w:t>
      </w:r>
      <w:r>
        <w:t xml:space="preserve">luego </w:t>
      </w:r>
      <w:r w:rsidR="00CE6FCC">
        <w:t>esta historia</w:t>
      </w:r>
      <w:proofErr w:type="gramStart"/>
      <w:r w:rsidR="00CE6FCC">
        <w:t>?</w:t>
      </w:r>
      <w:proofErr w:type="gramEnd"/>
      <w:r>
        <w:t xml:space="preserve"> Es impredecible.</w:t>
      </w:r>
    </w:p>
    <w:p w:rsidR="009505C5" w:rsidRPr="009505C5" w:rsidRDefault="009505C5" w:rsidP="00E35824">
      <w:pPr>
        <w:pStyle w:val="Prrafodelista"/>
        <w:spacing w:after="0"/>
        <w:ind w:left="142" w:right="369"/>
        <w:contextualSpacing w:val="0"/>
        <w:jc w:val="center"/>
        <w:rPr>
          <w:b/>
          <w:sz w:val="18"/>
          <w:szCs w:val="18"/>
        </w:rPr>
      </w:pPr>
      <w:r w:rsidRPr="009505C5">
        <w:rPr>
          <w:b/>
          <w:sz w:val="18"/>
          <w:szCs w:val="18"/>
        </w:rPr>
        <w:t>Cuadro 1</w:t>
      </w:r>
      <w:r>
        <w:rPr>
          <w:b/>
          <w:sz w:val="18"/>
          <w:szCs w:val="18"/>
        </w:rPr>
        <w:t xml:space="preserve"> – Variación de cada indicador respecto el mes anterior</w:t>
      </w:r>
    </w:p>
    <w:tbl>
      <w:tblPr>
        <w:tblW w:w="8506" w:type="dxa"/>
        <w:jc w:val="center"/>
        <w:tblInd w:w="55" w:type="dxa"/>
        <w:tblCellMar>
          <w:left w:w="70" w:type="dxa"/>
          <w:right w:w="70" w:type="dxa"/>
        </w:tblCellMar>
        <w:tblLook w:val="04A0" w:firstRow="1" w:lastRow="0" w:firstColumn="1" w:lastColumn="0" w:noHBand="0" w:noVBand="1"/>
      </w:tblPr>
      <w:tblGrid>
        <w:gridCol w:w="4126"/>
        <w:gridCol w:w="873"/>
        <w:gridCol w:w="919"/>
        <w:gridCol w:w="887"/>
        <w:gridCol w:w="868"/>
        <w:gridCol w:w="833"/>
      </w:tblGrid>
      <w:tr w:rsidR="008055B1" w:rsidRPr="008055B1" w:rsidTr="002532FA">
        <w:trPr>
          <w:trHeight w:val="57"/>
          <w:jc w:val="center"/>
        </w:trPr>
        <w:tc>
          <w:tcPr>
            <w:tcW w:w="4126" w:type="dxa"/>
            <w:vMerge w:val="restart"/>
            <w:tcBorders>
              <w:top w:val="single" w:sz="8" w:space="0" w:color="auto"/>
              <w:left w:val="single" w:sz="8" w:space="0" w:color="auto"/>
              <w:bottom w:val="nil"/>
              <w:right w:val="single" w:sz="8" w:space="0" w:color="auto"/>
            </w:tcBorders>
            <w:shd w:val="clear" w:color="000000" w:fill="F2F2F2"/>
            <w:noWrap/>
            <w:vAlign w:val="center"/>
            <w:hideMark/>
          </w:tcPr>
          <w:p w:rsidR="008055B1" w:rsidRPr="008055B1" w:rsidRDefault="008055B1" w:rsidP="008055B1">
            <w:pPr>
              <w:spacing w:before="0" w:after="0"/>
              <w:jc w:val="center"/>
              <w:rPr>
                <w:rFonts w:ascii="Arial Narrow" w:eastAsia="Times New Roman" w:hAnsi="Arial Narrow"/>
                <w:b/>
                <w:bCs/>
                <w:i/>
                <w:iCs/>
                <w:color w:val="000000"/>
                <w:sz w:val="18"/>
                <w:szCs w:val="18"/>
                <w:lang w:eastAsia="es-AR"/>
              </w:rPr>
            </w:pPr>
            <w:r w:rsidRPr="008055B1">
              <w:rPr>
                <w:rFonts w:ascii="Arial Narrow" w:eastAsia="Times New Roman" w:hAnsi="Arial Narrow"/>
                <w:b/>
                <w:bCs/>
                <w:i/>
                <w:iCs/>
                <w:color w:val="000000"/>
                <w:sz w:val="18"/>
                <w:szCs w:val="18"/>
                <w:lang w:eastAsia="es-AR"/>
              </w:rPr>
              <w:t>INDICADORES PREDICTIVOS</w:t>
            </w:r>
          </w:p>
        </w:tc>
        <w:tc>
          <w:tcPr>
            <w:tcW w:w="4380" w:type="dxa"/>
            <w:gridSpan w:val="5"/>
            <w:tcBorders>
              <w:top w:val="single" w:sz="8" w:space="0" w:color="auto"/>
              <w:left w:val="nil"/>
              <w:bottom w:val="single" w:sz="8" w:space="0" w:color="auto"/>
              <w:right w:val="single" w:sz="8" w:space="0" w:color="000000"/>
            </w:tcBorders>
            <w:shd w:val="clear" w:color="000000" w:fill="F2F2F2"/>
            <w:noWrap/>
            <w:vAlign w:val="center"/>
            <w:hideMark/>
          </w:tcPr>
          <w:p w:rsidR="008055B1" w:rsidRPr="008055B1" w:rsidRDefault="008055B1" w:rsidP="008055B1">
            <w:pPr>
              <w:spacing w:before="0" w:after="0"/>
              <w:jc w:val="center"/>
              <w:rPr>
                <w:rFonts w:ascii="Arial Narrow" w:eastAsia="Times New Roman" w:hAnsi="Arial Narrow"/>
                <w:b/>
                <w:bCs/>
                <w:i/>
                <w:iCs/>
                <w:color w:val="000000"/>
                <w:sz w:val="18"/>
                <w:szCs w:val="18"/>
                <w:lang w:eastAsia="es-AR"/>
              </w:rPr>
            </w:pPr>
            <w:r w:rsidRPr="008055B1">
              <w:rPr>
                <w:rFonts w:ascii="Arial Narrow" w:eastAsia="Times New Roman" w:hAnsi="Arial Narrow"/>
                <w:b/>
                <w:bCs/>
                <w:i/>
                <w:iCs/>
                <w:color w:val="000000"/>
                <w:sz w:val="18"/>
                <w:szCs w:val="18"/>
                <w:lang w:eastAsia="es-AR"/>
              </w:rPr>
              <w:t>Variación % mes a mes</w:t>
            </w:r>
          </w:p>
        </w:tc>
      </w:tr>
      <w:tr w:rsidR="008055B1" w:rsidRPr="008055B1" w:rsidTr="002532FA">
        <w:trPr>
          <w:trHeight w:val="48"/>
          <w:jc w:val="center"/>
        </w:trPr>
        <w:tc>
          <w:tcPr>
            <w:tcW w:w="4126" w:type="dxa"/>
            <w:vMerge/>
            <w:tcBorders>
              <w:top w:val="single" w:sz="8" w:space="0" w:color="auto"/>
              <w:left w:val="single" w:sz="8" w:space="0" w:color="auto"/>
              <w:bottom w:val="nil"/>
              <w:right w:val="single" w:sz="8" w:space="0" w:color="auto"/>
            </w:tcBorders>
            <w:vAlign w:val="center"/>
            <w:hideMark/>
          </w:tcPr>
          <w:p w:rsidR="008055B1" w:rsidRPr="008055B1" w:rsidRDefault="008055B1" w:rsidP="008055B1">
            <w:pPr>
              <w:spacing w:before="0" w:after="0"/>
              <w:jc w:val="left"/>
              <w:rPr>
                <w:rFonts w:ascii="Arial Narrow" w:eastAsia="Times New Roman" w:hAnsi="Arial Narrow"/>
                <w:b/>
                <w:bCs/>
                <w:i/>
                <w:iCs/>
                <w:color w:val="000000"/>
                <w:sz w:val="20"/>
                <w:szCs w:val="20"/>
                <w:lang w:eastAsia="es-AR"/>
              </w:rPr>
            </w:pPr>
          </w:p>
        </w:tc>
        <w:tc>
          <w:tcPr>
            <w:tcW w:w="873" w:type="dxa"/>
            <w:tcBorders>
              <w:top w:val="nil"/>
              <w:left w:val="single" w:sz="4" w:space="0" w:color="auto"/>
              <w:bottom w:val="nil"/>
              <w:right w:val="single" w:sz="4" w:space="0" w:color="auto"/>
            </w:tcBorders>
            <w:shd w:val="clear" w:color="000000" w:fill="F2F2F2"/>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18"/>
                <w:szCs w:val="18"/>
                <w:lang w:eastAsia="es-AR"/>
              </w:rPr>
            </w:pPr>
            <w:r w:rsidRPr="008055B1">
              <w:rPr>
                <w:rFonts w:ascii="Arial Narrow" w:eastAsia="Times New Roman" w:hAnsi="Arial Narrow" w:cs="Calibri"/>
                <w:b/>
                <w:bCs/>
                <w:color w:val="000000"/>
                <w:sz w:val="18"/>
                <w:szCs w:val="18"/>
                <w:lang w:eastAsia="es-AR"/>
              </w:rPr>
              <w:t>abr-24</w:t>
            </w:r>
          </w:p>
        </w:tc>
        <w:tc>
          <w:tcPr>
            <w:tcW w:w="919" w:type="dxa"/>
            <w:tcBorders>
              <w:top w:val="nil"/>
              <w:left w:val="nil"/>
              <w:bottom w:val="nil"/>
              <w:right w:val="nil"/>
            </w:tcBorders>
            <w:shd w:val="clear" w:color="000000" w:fill="F2F2F2"/>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18"/>
                <w:szCs w:val="18"/>
                <w:lang w:eastAsia="es-AR"/>
              </w:rPr>
            </w:pPr>
            <w:r w:rsidRPr="008055B1">
              <w:rPr>
                <w:rFonts w:ascii="Arial Narrow" w:eastAsia="Times New Roman" w:hAnsi="Arial Narrow" w:cs="Calibri"/>
                <w:b/>
                <w:bCs/>
                <w:color w:val="000000"/>
                <w:sz w:val="18"/>
                <w:szCs w:val="18"/>
                <w:lang w:eastAsia="es-AR"/>
              </w:rPr>
              <w:t>may-24</w:t>
            </w:r>
          </w:p>
        </w:tc>
        <w:tc>
          <w:tcPr>
            <w:tcW w:w="887" w:type="dxa"/>
            <w:tcBorders>
              <w:top w:val="nil"/>
              <w:left w:val="single" w:sz="8" w:space="0" w:color="auto"/>
              <w:bottom w:val="nil"/>
              <w:right w:val="single" w:sz="8" w:space="0" w:color="auto"/>
            </w:tcBorders>
            <w:shd w:val="clear" w:color="000000" w:fill="F2F2F2"/>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18"/>
                <w:szCs w:val="18"/>
                <w:lang w:eastAsia="es-AR"/>
              </w:rPr>
            </w:pPr>
            <w:r w:rsidRPr="008055B1">
              <w:rPr>
                <w:rFonts w:ascii="Arial Narrow" w:eastAsia="Times New Roman" w:hAnsi="Arial Narrow" w:cs="Calibri"/>
                <w:b/>
                <w:bCs/>
                <w:color w:val="000000"/>
                <w:sz w:val="18"/>
                <w:szCs w:val="18"/>
                <w:lang w:eastAsia="es-AR"/>
              </w:rPr>
              <w:t>jun-24</w:t>
            </w:r>
          </w:p>
        </w:tc>
        <w:tc>
          <w:tcPr>
            <w:tcW w:w="868" w:type="dxa"/>
            <w:tcBorders>
              <w:top w:val="nil"/>
              <w:left w:val="nil"/>
              <w:bottom w:val="nil"/>
              <w:right w:val="single" w:sz="8" w:space="0" w:color="auto"/>
            </w:tcBorders>
            <w:shd w:val="clear" w:color="000000" w:fill="F2F2F2"/>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18"/>
                <w:szCs w:val="18"/>
                <w:lang w:eastAsia="es-AR"/>
              </w:rPr>
            </w:pPr>
            <w:r w:rsidRPr="008055B1">
              <w:rPr>
                <w:rFonts w:ascii="Arial Narrow" w:eastAsia="Times New Roman" w:hAnsi="Arial Narrow" w:cs="Calibri"/>
                <w:b/>
                <w:bCs/>
                <w:color w:val="000000"/>
                <w:sz w:val="18"/>
                <w:szCs w:val="18"/>
                <w:lang w:eastAsia="es-AR"/>
              </w:rPr>
              <w:t>jul-24</w:t>
            </w:r>
          </w:p>
        </w:tc>
        <w:tc>
          <w:tcPr>
            <w:tcW w:w="833" w:type="dxa"/>
            <w:tcBorders>
              <w:top w:val="nil"/>
              <w:left w:val="nil"/>
              <w:bottom w:val="nil"/>
              <w:right w:val="single" w:sz="8" w:space="0" w:color="auto"/>
            </w:tcBorders>
            <w:shd w:val="clear" w:color="000000" w:fill="F2F2F2"/>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18"/>
                <w:szCs w:val="18"/>
                <w:lang w:eastAsia="es-AR"/>
              </w:rPr>
            </w:pPr>
            <w:r w:rsidRPr="008055B1">
              <w:rPr>
                <w:rFonts w:ascii="Arial Narrow" w:eastAsia="Times New Roman" w:hAnsi="Arial Narrow" w:cs="Calibri"/>
                <w:b/>
                <w:bCs/>
                <w:color w:val="000000"/>
                <w:sz w:val="18"/>
                <w:szCs w:val="18"/>
                <w:lang w:eastAsia="es-AR"/>
              </w:rPr>
              <w:t>ago-24</w:t>
            </w:r>
          </w:p>
        </w:tc>
      </w:tr>
      <w:tr w:rsidR="00E35824" w:rsidRPr="008055B1" w:rsidTr="002532FA">
        <w:trPr>
          <w:trHeight w:val="48"/>
          <w:jc w:val="center"/>
        </w:trPr>
        <w:tc>
          <w:tcPr>
            <w:tcW w:w="412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1 Estimado Mensual Actividad Económica EMAE </w:t>
            </w:r>
          </w:p>
        </w:tc>
        <w:tc>
          <w:tcPr>
            <w:tcW w:w="873" w:type="dxa"/>
            <w:tcBorders>
              <w:top w:val="single" w:sz="8" w:space="0" w:color="auto"/>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2,2%</w:t>
            </w:r>
          </w:p>
        </w:tc>
        <w:tc>
          <w:tcPr>
            <w:tcW w:w="919" w:type="dxa"/>
            <w:tcBorders>
              <w:top w:val="single" w:sz="8" w:space="0" w:color="auto"/>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6,3%</w:t>
            </w:r>
          </w:p>
        </w:tc>
        <w:tc>
          <w:tcPr>
            <w:tcW w:w="887" w:type="dxa"/>
            <w:tcBorders>
              <w:top w:val="single" w:sz="8" w:space="0" w:color="auto"/>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-5,9%</w:t>
            </w:r>
          </w:p>
        </w:tc>
        <w:tc>
          <w:tcPr>
            <w:tcW w:w="868" w:type="dxa"/>
            <w:tcBorders>
              <w:top w:val="single" w:sz="8" w:space="0" w:color="auto"/>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1,0</w:t>
            </w:r>
            <w:r w:rsidR="00B27642">
              <w:rPr>
                <w:rFonts w:ascii="Arial Narrow" w:eastAsia="Times New Roman" w:hAnsi="Arial Narrow" w:cs="Calibri"/>
                <w:b/>
                <w:bCs/>
                <w:color w:val="000000"/>
                <w:sz w:val="20"/>
                <w:szCs w:val="20"/>
                <w:lang w:eastAsia="es-AR"/>
              </w:rPr>
              <w:t>3</w:t>
            </w:r>
            <w:r w:rsidRPr="008055B1">
              <w:rPr>
                <w:rFonts w:ascii="Arial Narrow" w:eastAsia="Times New Roman" w:hAnsi="Arial Narrow" w:cs="Calibri"/>
                <w:b/>
                <w:bCs/>
                <w:color w:val="000000"/>
                <w:sz w:val="20"/>
                <w:szCs w:val="20"/>
                <w:lang w:eastAsia="es-AR"/>
              </w:rPr>
              <w:t>%</w:t>
            </w:r>
          </w:p>
        </w:tc>
        <w:tc>
          <w:tcPr>
            <w:tcW w:w="833" w:type="dxa"/>
            <w:tcBorders>
              <w:top w:val="single" w:sz="8" w:space="0" w:color="auto"/>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 </w:t>
            </w:r>
          </w:p>
        </w:tc>
      </w:tr>
      <w:tr w:rsidR="00E35824" w:rsidRPr="008055B1" w:rsidTr="002532FA">
        <w:trPr>
          <w:trHeight w:val="77"/>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2 Índice </w:t>
            </w:r>
            <w:r w:rsidR="00E35824" w:rsidRPr="008055B1">
              <w:rPr>
                <w:rFonts w:ascii="Arial Narrow" w:eastAsia="Times New Roman" w:hAnsi="Arial Narrow"/>
                <w:color w:val="000000"/>
                <w:sz w:val="20"/>
                <w:szCs w:val="20"/>
                <w:lang w:eastAsia="es-AR"/>
              </w:rPr>
              <w:t>Líder</w:t>
            </w:r>
            <w:r w:rsidRPr="008055B1">
              <w:rPr>
                <w:rFonts w:ascii="Arial Narrow" w:eastAsia="Times New Roman" w:hAnsi="Arial Narrow"/>
                <w:color w:val="000000"/>
                <w:sz w:val="20"/>
                <w:szCs w:val="20"/>
                <w:lang w:eastAsia="es-AR"/>
              </w:rPr>
              <w:t xml:space="preserve"> UTDT 2019=100</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4,3%</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5,2%</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-4,6%</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1,9%</w:t>
            </w:r>
          </w:p>
        </w:tc>
        <w:tc>
          <w:tcPr>
            <w:tcW w:w="833" w:type="dxa"/>
            <w:tcBorders>
              <w:top w:val="nil"/>
              <w:left w:val="nil"/>
              <w:bottom w:val="single" w:sz="4" w:space="0" w:color="auto"/>
              <w:right w:val="single" w:sz="8"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-0,3%</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3 Índice de </w:t>
            </w:r>
            <w:proofErr w:type="spellStart"/>
            <w:r w:rsidRPr="008055B1">
              <w:rPr>
                <w:rFonts w:ascii="Arial Narrow" w:eastAsia="Times New Roman" w:hAnsi="Arial Narrow"/>
                <w:color w:val="000000"/>
                <w:sz w:val="20"/>
                <w:szCs w:val="20"/>
                <w:lang w:eastAsia="es-AR"/>
              </w:rPr>
              <w:t>Prod</w:t>
            </w:r>
            <w:proofErr w:type="spellEnd"/>
            <w:r w:rsidRPr="008055B1">
              <w:rPr>
                <w:rFonts w:ascii="Arial Narrow" w:eastAsia="Times New Roman" w:hAnsi="Arial Narrow"/>
                <w:color w:val="000000"/>
                <w:sz w:val="20"/>
                <w:szCs w:val="20"/>
                <w:lang w:eastAsia="es-AR"/>
              </w:rPr>
              <w:t xml:space="preserve"> Industrial IPI INDEC 2014=100</w:t>
            </w:r>
          </w:p>
        </w:tc>
        <w:tc>
          <w:tcPr>
            <w:tcW w:w="873"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0,6%</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4,9%</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-8,2%</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16,7%</w:t>
            </w:r>
          </w:p>
        </w:tc>
        <w:tc>
          <w:tcPr>
            <w:tcW w:w="833" w:type="dxa"/>
            <w:tcBorders>
              <w:top w:val="nil"/>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 </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4 </w:t>
            </w:r>
            <w:proofErr w:type="spellStart"/>
            <w:r w:rsidRPr="008055B1">
              <w:rPr>
                <w:rFonts w:ascii="Arial Narrow" w:eastAsia="Times New Roman" w:hAnsi="Arial Narrow"/>
                <w:color w:val="000000"/>
                <w:sz w:val="20"/>
                <w:szCs w:val="20"/>
                <w:lang w:eastAsia="es-AR"/>
              </w:rPr>
              <w:t>Utiliz</w:t>
            </w:r>
            <w:proofErr w:type="spellEnd"/>
            <w:r w:rsidRPr="008055B1">
              <w:rPr>
                <w:rFonts w:ascii="Arial Narrow" w:eastAsia="Times New Roman" w:hAnsi="Arial Narrow"/>
                <w:color w:val="000000"/>
                <w:sz w:val="20"/>
                <w:szCs w:val="20"/>
                <w:lang w:eastAsia="es-AR"/>
              </w:rPr>
              <w:t xml:space="preserve"> capacidad instalada en industria %</w:t>
            </w:r>
          </w:p>
        </w:tc>
        <w:tc>
          <w:tcPr>
            <w:tcW w:w="873"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6,0%</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0,4%</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-4,0%</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9,5%</w:t>
            </w:r>
          </w:p>
        </w:tc>
        <w:tc>
          <w:tcPr>
            <w:tcW w:w="833" w:type="dxa"/>
            <w:tcBorders>
              <w:top w:val="nil"/>
              <w:left w:val="nil"/>
              <w:bottom w:val="single" w:sz="4" w:space="0" w:color="auto"/>
              <w:right w:val="single" w:sz="8" w:space="0" w:color="auto"/>
            </w:tcBorders>
            <w:shd w:val="clear" w:color="auto" w:fill="auto"/>
            <w:noWrap/>
            <w:vAlign w:val="bottom"/>
            <w:hideMark/>
          </w:tcPr>
          <w:p w:rsidR="008055B1" w:rsidRPr="008055B1" w:rsidRDefault="008055B1" w:rsidP="008055B1">
            <w:pPr>
              <w:spacing w:before="0" w:after="0"/>
              <w:jc w:val="left"/>
              <w:rPr>
                <w:rFonts w:ascii="Arial Narrow" w:eastAsia="Times New Roman" w:hAnsi="Arial Narrow" w:cs="Calibri"/>
                <w:color w:val="000000"/>
                <w:sz w:val="20"/>
                <w:szCs w:val="20"/>
                <w:lang w:eastAsia="es-AR"/>
              </w:rPr>
            </w:pPr>
            <w:r w:rsidRPr="008055B1">
              <w:rPr>
                <w:rFonts w:ascii="Arial Narrow" w:eastAsia="Times New Roman" w:hAnsi="Arial Narrow" w:cs="Calibri"/>
                <w:color w:val="000000"/>
                <w:sz w:val="20"/>
                <w:szCs w:val="20"/>
                <w:lang w:eastAsia="es-AR"/>
              </w:rPr>
              <w:t> </w:t>
            </w:r>
          </w:p>
        </w:tc>
      </w:tr>
      <w:tr w:rsidR="00E35824" w:rsidRPr="008055B1" w:rsidTr="002532FA">
        <w:trPr>
          <w:trHeight w:val="72"/>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5 </w:t>
            </w:r>
            <w:r w:rsidR="00E35824" w:rsidRPr="008055B1">
              <w:rPr>
                <w:rFonts w:ascii="Arial Narrow" w:eastAsia="Times New Roman" w:hAnsi="Arial Narrow"/>
                <w:color w:val="000000"/>
                <w:sz w:val="20"/>
                <w:szCs w:val="20"/>
                <w:lang w:eastAsia="es-AR"/>
              </w:rPr>
              <w:t>Índice</w:t>
            </w:r>
            <w:r w:rsidRPr="008055B1">
              <w:rPr>
                <w:rFonts w:ascii="Arial Narrow" w:eastAsia="Times New Roman" w:hAnsi="Arial Narrow"/>
                <w:color w:val="000000"/>
                <w:sz w:val="20"/>
                <w:szCs w:val="20"/>
                <w:lang w:eastAsia="es-AR"/>
              </w:rPr>
              <w:t xml:space="preserve"> de </w:t>
            </w:r>
            <w:proofErr w:type="spellStart"/>
            <w:r w:rsidRPr="008055B1">
              <w:rPr>
                <w:rFonts w:ascii="Arial Narrow" w:eastAsia="Times New Roman" w:hAnsi="Arial Narrow"/>
                <w:color w:val="000000"/>
                <w:sz w:val="20"/>
                <w:szCs w:val="20"/>
                <w:lang w:eastAsia="es-AR"/>
              </w:rPr>
              <w:t>Prod</w:t>
            </w:r>
            <w:proofErr w:type="spellEnd"/>
            <w:r w:rsidRPr="008055B1">
              <w:rPr>
                <w:rFonts w:ascii="Arial Narrow" w:eastAsia="Times New Roman" w:hAnsi="Arial Narrow"/>
                <w:color w:val="000000"/>
                <w:sz w:val="20"/>
                <w:szCs w:val="20"/>
                <w:lang w:eastAsia="es-AR"/>
              </w:rPr>
              <w:t xml:space="preserve"> Industrial FIEL 1993 = 100</w:t>
            </w:r>
          </w:p>
        </w:tc>
        <w:tc>
          <w:tcPr>
            <w:tcW w:w="873"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-1,3%</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2,8%</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-2,4%</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5,8%</w:t>
            </w:r>
          </w:p>
        </w:tc>
        <w:tc>
          <w:tcPr>
            <w:tcW w:w="833" w:type="dxa"/>
            <w:tcBorders>
              <w:top w:val="nil"/>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2,1%</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6 Actividad Metalúrgica ADIMRA</w:t>
            </w:r>
          </w:p>
        </w:tc>
        <w:tc>
          <w:tcPr>
            <w:tcW w:w="873"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-2,3%</w:t>
            </w:r>
          </w:p>
        </w:tc>
        <w:tc>
          <w:tcPr>
            <w:tcW w:w="919" w:type="dxa"/>
            <w:tcBorders>
              <w:top w:val="nil"/>
              <w:left w:val="single" w:sz="4" w:space="0" w:color="auto"/>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-0,7%</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-1,9%</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1,3%</w:t>
            </w:r>
          </w:p>
        </w:tc>
        <w:tc>
          <w:tcPr>
            <w:tcW w:w="833" w:type="dxa"/>
            <w:tcBorders>
              <w:top w:val="nil"/>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0,0%</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7 Acero Crudo </w:t>
            </w:r>
            <w:r w:rsidR="00E35824" w:rsidRPr="008055B1">
              <w:rPr>
                <w:rFonts w:ascii="Arial Narrow" w:eastAsia="Times New Roman" w:hAnsi="Arial Narrow"/>
                <w:color w:val="000000"/>
                <w:sz w:val="20"/>
                <w:szCs w:val="20"/>
                <w:lang w:eastAsia="es-AR"/>
              </w:rPr>
              <w:t>Producción</w:t>
            </w:r>
            <w:r w:rsidRPr="008055B1">
              <w:rPr>
                <w:rFonts w:ascii="Arial Narrow" w:eastAsia="Times New Roman" w:hAnsi="Arial Narrow"/>
                <w:color w:val="000000"/>
                <w:sz w:val="20"/>
                <w:szCs w:val="20"/>
                <w:lang w:eastAsia="es-AR"/>
              </w:rPr>
              <w:t xml:space="preserve"> </w:t>
            </w:r>
            <w:proofErr w:type="spellStart"/>
            <w:r w:rsidRPr="008055B1">
              <w:rPr>
                <w:rFonts w:ascii="Arial Narrow" w:eastAsia="Times New Roman" w:hAnsi="Arial Narrow"/>
                <w:color w:val="000000"/>
                <w:sz w:val="20"/>
                <w:szCs w:val="20"/>
                <w:lang w:eastAsia="es-AR"/>
              </w:rPr>
              <w:t>Mls</w:t>
            </w:r>
            <w:proofErr w:type="spellEnd"/>
            <w:r w:rsidRPr="008055B1">
              <w:rPr>
                <w:rFonts w:ascii="Arial Narrow" w:eastAsia="Times New Roman" w:hAnsi="Arial Narrow"/>
                <w:color w:val="000000"/>
                <w:sz w:val="20"/>
                <w:szCs w:val="20"/>
                <w:lang w:eastAsia="es-AR"/>
              </w:rPr>
              <w:t xml:space="preserve"> </w:t>
            </w:r>
            <w:proofErr w:type="spellStart"/>
            <w:r w:rsidRPr="008055B1">
              <w:rPr>
                <w:rFonts w:ascii="Arial Narrow" w:eastAsia="Times New Roman" w:hAnsi="Arial Narrow"/>
                <w:color w:val="000000"/>
                <w:sz w:val="20"/>
                <w:szCs w:val="20"/>
                <w:lang w:eastAsia="es-AR"/>
              </w:rPr>
              <w:t>Tn</w:t>
            </w:r>
            <w:proofErr w:type="spellEnd"/>
          </w:p>
        </w:tc>
        <w:tc>
          <w:tcPr>
            <w:tcW w:w="873"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31,3%</w:t>
            </w:r>
          </w:p>
        </w:tc>
        <w:tc>
          <w:tcPr>
            <w:tcW w:w="919" w:type="dxa"/>
            <w:tcBorders>
              <w:top w:val="nil"/>
              <w:left w:val="single" w:sz="4" w:space="0" w:color="auto"/>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-1,5%</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-11,9%</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14,2%</w:t>
            </w:r>
          </w:p>
        </w:tc>
        <w:tc>
          <w:tcPr>
            <w:tcW w:w="833" w:type="dxa"/>
            <w:tcBorders>
              <w:top w:val="nil"/>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10,5%</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8 Cemento Portland (Consumo </w:t>
            </w:r>
            <w:proofErr w:type="spellStart"/>
            <w:r w:rsidRPr="008055B1">
              <w:rPr>
                <w:rFonts w:ascii="Arial Narrow" w:eastAsia="Times New Roman" w:hAnsi="Arial Narrow"/>
                <w:color w:val="000000"/>
                <w:sz w:val="20"/>
                <w:szCs w:val="20"/>
                <w:lang w:eastAsia="es-AR"/>
              </w:rPr>
              <w:t>Merc</w:t>
            </w:r>
            <w:proofErr w:type="spellEnd"/>
            <w:r w:rsidRPr="008055B1">
              <w:rPr>
                <w:rFonts w:ascii="Arial Narrow" w:eastAsia="Times New Roman" w:hAnsi="Arial Narrow"/>
                <w:color w:val="000000"/>
                <w:sz w:val="20"/>
                <w:szCs w:val="20"/>
                <w:lang w:eastAsia="es-AR"/>
              </w:rPr>
              <w:t xml:space="preserve"> Interno) </w:t>
            </w:r>
            <w:proofErr w:type="spellStart"/>
            <w:r w:rsidRPr="008055B1">
              <w:rPr>
                <w:rFonts w:ascii="Arial Narrow" w:eastAsia="Times New Roman" w:hAnsi="Arial Narrow"/>
                <w:color w:val="000000"/>
                <w:sz w:val="20"/>
                <w:szCs w:val="20"/>
                <w:lang w:eastAsia="es-AR"/>
              </w:rPr>
              <w:t>Mls</w:t>
            </w:r>
            <w:proofErr w:type="spellEnd"/>
            <w:r w:rsidRPr="008055B1">
              <w:rPr>
                <w:rFonts w:ascii="Arial Narrow" w:eastAsia="Times New Roman" w:hAnsi="Arial Narrow"/>
                <w:color w:val="000000"/>
                <w:sz w:val="20"/>
                <w:szCs w:val="20"/>
                <w:lang w:eastAsia="es-AR"/>
              </w:rPr>
              <w:t xml:space="preserve"> </w:t>
            </w:r>
            <w:proofErr w:type="spellStart"/>
            <w:r w:rsidRPr="008055B1">
              <w:rPr>
                <w:rFonts w:ascii="Arial Narrow" w:eastAsia="Times New Roman" w:hAnsi="Arial Narrow"/>
                <w:color w:val="000000"/>
                <w:sz w:val="20"/>
                <w:szCs w:val="20"/>
                <w:lang w:eastAsia="es-AR"/>
              </w:rPr>
              <w:t>Tn</w:t>
            </w:r>
            <w:proofErr w:type="spellEnd"/>
          </w:p>
        </w:tc>
        <w:tc>
          <w:tcPr>
            <w:tcW w:w="873"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3,4%</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19,1%</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-7,0%</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25,8%</w:t>
            </w:r>
          </w:p>
        </w:tc>
        <w:tc>
          <w:tcPr>
            <w:tcW w:w="833" w:type="dxa"/>
            <w:tcBorders>
              <w:top w:val="nil"/>
              <w:left w:val="nil"/>
              <w:bottom w:val="single" w:sz="4" w:space="0" w:color="auto"/>
              <w:right w:val="single" w:sz="8"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-2,6%</w:t>
            </w:r>
          </w:p>
        </w:tc>
      </w:tr>
      <w:tr w:rsidR="00E35824" w:rsidRPr="008055B1" w:rsidTr="002532FA">
        <w:trPr>
          <w:trHeight w:val="101"/>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9 </w:t>
            </w:r>
            <w:r w:rsidR="00E35824" w:rsidRPr="008055B1">
              <w:rPr>
                <w:rFonts w:ascii="Arial Narrow" w:eastAsia="Times New Roman" w:hAnsi="Arial Narrow"/>
                <w:color w:val="000000"/>
                <w:sz w:val="20"/>
                <w:szCs w:val="20"/>
                <w:lang w:eastAsia="es-AR"/>
              </w:rPr>
              <w:t>Índice</w:t>
            </w:r>
            <w:r w:rsidRPr="008055B1">
              <w:rPr>
                <w:rFonts w:ascii="Arial Narrow" w:eastAsia="Times New Roman" w:hAnsi="Arial Narrow"/>
                <w:color w:val="000000"/>
                <w:sz w:val="20"/>
                <w:szCs w:val="20"/>
                <w:lang w:eastAsia="es-AR"/>
              </w:rPr>
              <w:t xml:space="preserve"> Construya 2002=100</w:t>
            </w:r>
          </w:p>
        </w:tc>
        <w:tc>
          <w:tcPr>
            <w:tcW w:w="873"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5,8%</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9,5%</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-2,1%</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21,9%</w:t>
            </w:r>
          </w:p>
        </w:tc>
        <w:tc>
          <w:tcPr>
            <w:tcW w:w="833" w:type="dxa"/>
            <w:tcBorders>
              <w:top w:val="nil"/>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6,2%</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10 Patentamiento de Autos Unidades</w:t>
            </w:r>
          </w:p>
        </w:tc>
        <w:tc>
          <w:tcPr>
            <w:tcW w:w="873"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22,5%</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4,3%</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-11,3%</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36,6%</w:t>
            </w:r>
          </w:p>
        </w:tc>
        <w:tc>
          <w:tcPr>
            <w:tcW w:w="833" w:type="dxa"/>
            <w:tcBorders>
              <w:top w:val="nil"/>
              <w:left w:val="nil"/>
              <w:bottom w:val="single" w:sz="4" w:space="0" w:color="auto"/>
              <w:right w:val="single" w:sz="8" w:space="0" w:color="auto"/>
            </w:tcBorders>
            <w:shd w:val="clear" w:color="auto" w:fill="auto"/>
            <w:noWrap/>
            <w:vAlign w:val="bottom"/>
            <w:hideMark/>
          </w:tcPr>
          <w:p w:rsidR="008055B1" w:rsidRPr="008055B1" w:rsidRDefault="008055B1" w:rsidP="008055B1">
            <w:pPr>
              <w:spacing w:before="0" w:after="0"/>
              <w:jc w:val="left"/>
              <w:rPr>
                <w:rFonts w:ascii="Arial Narrow" w:eastAsia="Times New Roman" w:hAnsi="Arial Narrow" w:cs="Calibri"/>
                <w:color w:val="000000"/>
                <w:sz w:val="20"/>
                <w:szCs w:val="20"/>
                <w:lang w:eastAsia="es-AR"/>
              </w:rPr>
            </w:pPr>
            <w:r w:rsidRPr="008055B1">
              <w:rPr>
                <w:rFonts w:ascii="Arial Narrow" w:eastAsia="Times New Roman" w:hAnsi="Arial Narrow" w:cs="Calibri"/>
                <w:color w:val="000000"/>
                <w:sz w:val="20"/>
                <w:szCs w:val="20"/>
                <w:lang w:eastAsia="es-AR"/>
              </w:rPr>
              <w:t> </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11 Patentamiento de Maquinaria Agrícola Unidades</w:t>
            </w:r>
          </w:p>
        </w:tc>
        <w:tc>
          <w:tcPr>
            <w:tcW w:w="873"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67,0%</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27,9%</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-30,5%</w:t>
            </w:r>
          </w:p>
        </w:tc>
        <w:tc>
          <w:tcPr>
            <w:tcW w:w="868"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-8,1%</w:t>
            </w:r>
          </w:p>
        </w:tc>
        <w:tc>
          <w:tcPr>
            <w:tcW w:w="833" w:type="dxa"/>
            <w:tcBorders>
              <w:top w:val="nil"/>
              <w:left w:val="nil"/>
              <w:bottom w:val="single" w:sz="4" w:space="0" w:color="auto"/>
              <w:right w:val="single" w:sz="8" w:space="0" w:color="auto"/>
            </w:tcBorders>
            <w:shd w:val="clear" w:color="auto" w:fill="auto"/>
            <w:noWrap/>
            <w:vAlign w:val="bottom"/>
            <w:hideMark/>
          </w:tcPr>
          <w:p w:rsidR="008055B1" w:rsidRPr="008055B1" w:rsidRDefault="008055B1" w:rsidP="008055B1">
            <w:pPr>
              <w:spacing w:before="0" w:after="0"/>
              <w:jc w:val="left"/>
              <w:rPr>
                <w:rFonts w:ascii="Arial Narrow" w:eastAsia="Times New Roman" w:hAnsi="Arial Narrow" w:cs="Calibri"/>
                <w:color w:val="000000"/>
                <w:sz w:val="20"/>
                <w:szCs w:val="20"/>
                <w:lang w:eastAsia="es-AR"/>
              </w:rPr>
            </w:pPr>
            <w:r w:rsidRPr="008055B1">
              <w:rPr>
                <w:rFonts w:ascii="Arial Narrow" w:eastAsia="Times New Roman" w:hAnsi="Arial Narrow" w:cs="Calibri"/>
                <w:color w:val="000000"/>
                <w:sz w:val="20"/>
                <w:szCs w:val="20"/>
                <w:lang w:eastAsia="es-AR"/>
              </w:rPr>
              <w:t> </w:t>
            </w:r>
          </w:p>
        </w:tc>
      </w:tr>
      <w:tr w:rsidR="00E35824" w:rsidRPr="008055B1" w:rsidTr="002532FA">
        <w:trPr>
          <w:trHeight w:val="82"/>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12 Asalariados </w:t>
            </w:r>
            <w:proofErr w:type="spellStart"/>
            <w:r w:rsidRPr="008055B1">
              <w:rPr>
                <w:rFonts w:ascii="Arial Narrow" w:eastAsia="Times New Roman" w:hAnsi="Arial Narrow"/>
                <w:color w:val="000000"/>
                <w:sz w:val="20"/>
                <w:szCs w:val="20"/>
                <w:lang w:eastAsia="es-AR"/>
              </w:rPr>
              <w:t>priv</w:t>
            </w:r>
            <w:proofErr w:type="spellEnd"/>
            <w:r w:rsidRPr="008055B1">
              <w:rPr>
                <w:rFonts w:ascii="Arial Narrow" w:eastAsia="Times New Roman" w:hAnsi="Arial Narrow"/>
                <w:color w:val="000000"/>
                <w:sz w:val="20"/>
                <w:szCs w:val="20"/>
                <w:lang w:eastAsia="es-AR"/>
              </w:rPr>
              <w:t xml:space="preserve"> registrados STSS</w:t>
            </w:r>
          </w:p>
        </w:tc>
        <w:tc>
          <w:tcPr>
            <w:tcW w:w="873"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-0,3%</w:t>
            </w:r>
          </w:p>
        </w:tc>
        <w:tc>
          <w:tcPr>
            <w:tcW w:w="919" w:type="dxa"/>
            <w:tcBorders>
              <w:top w:val="nil"/>
              <w:left w:val="single" w:sz="4" w:space="0" w:color="auto"/>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-0,1%</w:t>
            </w:r>
          </w:p>
        </w:tc>
        <w:tc>
          <w:tcPr>
            <w:tcW w:w="887"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-0,2%</w:t>
            </w:r>
          </w:p>
        </w:tc>
        <w:tc>
          <w:tcPr>
            <w:tcW w:w="868"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 </w:t>
            </w:r>
          </w:p>
        </w:tc>
        <w:tc>
          <w:tcPr>
            <w:tcW w:w="833" w:type="dxa"/>
            <w:tcBorders>
              <w:top w:val="nil"/>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 </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13 Créditos y débitos (AFIP) </w:t>
            </w:r>
            <w:proofErr w:type="spellStart"/>
            <w:r w:rsidRPr="008055B1">
              <w:rPr>
                <w:rFonts w:ascii="Arial Narrow" w:eastAsia="Times New Roman" w:hAnsi="Arial Narrow"/>
                <w:color w:val="000000"/>
                <w:sz w:val="20"/>
                <w:szCs w:val="20"/>
                <w:lang w:eastAsia="es-AR"/>
              </w:rPr>
              <w:t>Mill</w:t>
            </w:r>
            <w:proofErr w:type="spellEnd"/>
            <w:r w:rsidRPr="008055B1">
              <w:rPr>
                <w:rFonts w:ascii="Arial Narrow" w:eastAsia="Times New Roman" w:hAnsi="Arial Narrow"/>
                <w:color w:val="000000"/>
                <w:sz w:val="20"/>
                <w:szCs w:val="20"/>
                <w:lang w:eastAsia="es-AR"/>
              </w:rPr>
              <w:t xml:space="preserve"> $ 2016</w:t>
            </w:r>
          </w:p>
        </w:tc>
        <w:tc>
          <w:tcPr>
            <w:tcW w:w="873"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-6,4%</w:t>
            </w:r>
          </w:p>
        </w:tc>
        <w:tc>
          <w:tcPr>
            <w:tcW w:w="919" w:type="dxa"/>
            <w:tcBorders>
              <w:top w:val="nil"/>
              <w:left w:val="single" w:sz="4" w:space="0" w:color="auto"/>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0,2%</w:t>
            </w:r>
          </w:p>
        </w:tc>
        <w:tc>
          <w:tcPr>
            <w:tcW w:w="887"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32,5%</w:t>
            </w:r>
          </w:p>
        </w:tc>
        <w:tc>
          <w:tcPr>
            <w:tcW w:w="868"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-4,3%</w:t>
            </w:r>
          </w:p>
        </w:tc>
        <w:tc>
          <w:tcPr>
            <w:tcW w:w="833" w:type="dxa"/>
            <w:tcBorders>
              <w:top w:val="nil"/>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0,1%</w:t>
            </w:r>
          </w:p>
        </w:tc>
      </w:tr>
      <w:tr w:rsidR="00E35824" w:rsidRPr="008055B1" w:rsidTr="002532FA">
        <w:trPr>
          <w:trHeight w:val="58"/>
          <w:jc w:val="center"/>
        </w:trPr>
        <w:tc>
          <w:tcPr>
            <w:tcW w:w="4126" w:type="dxa"/>
            <w:tcBorders>
              <w:top w:val="nil"/>
              <w:left w:val="single" w:sz="8" w:space="0" w:color="auto"/>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14 IVA DGI </w:t>
            </w:r>
            <w:proofErr w:type="spellStart"/>
            <w:r w:rsidRPr="008055B1">
              <w:rPr>
                <w:rFonts w:ascii="Arial Narrow" w:eastAsia="Times New Roman" w:hAnsi="Arial Narrow"/>
                <w:color w:val="000000"/>
                <w:sz w:val="20"/>
                <w:szCs w:val="20"/>
                <w:lang w:eastAsia="es-AR"/>
              </w:rPr>
              <w:t>Mill</w:t>
            </w:r>
            <w:proofErr w:type="spellEnd"/>
            <w:r w:rsidRPr="008055B1">
              <w:rPr>
                <w:rFonts w:ascii="Arial Narrow" w:eastAsia="Times New Roman" w:hAnsi="Arial Narrow"/>
                <w:color w:val="000000"/>
                <w:sz w:val="20"/>
                <w:szCs w:val="20"/>
                <w:lang w:eastAsia="es-AR"/>
              </w:rPr>
              <w:t xml:space="preserve"> $ 2016</w:t>
            </w:r>
          </w:p>
        </w:tc>
        <w:tc>
          <w:tcPr>
            <w:tcW w:w="873"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8,3%</w:t>
            </w:r>
          </w:p>
        </w:tc>
        <w:tc>
          <w:tcPr>
            <w:tcW w:w="919" w:type="dxa"/>
            <w:tcBorders>
              <w:top w:val="nil"/>
              <w:left w:val="single" w:sz="4" w:space="0" w:color="auto"/>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-11,2%</w:t>
            </w:r>
          </w:p>
        </w:tc>
        <w:tc>
          <w:tcPr>
            <w:tcW w:w="887" w:type="dxa"/>
            <w:tcBorders>
              <w:top w:val="nil"/>
              <w:left w:val="nil"/>
              <w:bottom w:val="single" w:sz="4"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14,4%</w:t>
            </w:r>
          </w:p>
        </w:tc>
        <w:tc>
          <w:tcPr>
            <w:tcW w:w="868" w:type="dxa"/>
            <w:tcBorders>
              <w:top w:val="nil"/>
              <w:left w:val="nil"/>
              <w:bottom w:val="single" w:sz="4"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-2,2%</w:t>
            </w:r>
          </w:p>
        </w:tc>
        <w:tc>
          <w:tcPr>
            <w:tcW w:w="833" w:type="dxa"/>
            <w:tcBorders>
              <w:top w:val="nil"/>
              <w:left w:val="nil"/>
              <w:bottom w:val="single" w:sz="4"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8,1%</w:t>
            </w:r>
          </w:p>
        </w:tc>
      </w:tr>
      <w:tr w:rsidR="00E35824" w:rsidRPr="008055B1" w:rsidTr="002532FA">
        <w:trPr>
          <w:trHeight w:val="58"/>
          <w:jc w:val="center"/>
        </w:trPr>
        <w:tc>
          <w:tcPr>
            <w:tcW w:w="4126"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8055B1" w:rsidRPr="008055B1" w:rsidRDefault="008055B1" w:rsidP="008055B1">
            <w:pPr>
              <w:spacing w:before="0" w:after="0"/>
              <w:jc w:val="left"/>
              <w:rPr>
                <w:rFonts w:ascii="Arial Narrow" w:eastAsia="Times New Roman" w:hAnsi="Arial Narrow"/>
                <w:color w:val="000000"/>
                <w:sz w:val="20"/>
                <w:szCs w:val="20"/>
                <w:lang w:eastAsia="es-AR"/>
              </w:rPr>
            </w:pPr>
            <w:r w:rsidRPr="008055B1">
              <w:rPr>
                <w:rFonts w:ascii="Arial Narrow" w:eastAsia="Times New Roman" w:hAnsi="Arial Narrow"/>
                <w:color w:val="000000"/>
                <w:sz w:val="20"/>
                <w:szCs w:val="20"/>
                <w:lang w:eastAsia="es-AR"/>
              </w:rPr>
              <w:t xml:space="preserve">15 Préstamos hipotecarios y </w:t>
            </w:r>
            <w:proofErr w:type="spellStart"/>
            <w:r w:rsidRPr="008055B1">
              <w:rPr>
                <w:rFonts w:ascii="Arial Narrow" w:eastAsia="Times New Roman" w:hAnsi="Arial Narrow"/>
                <w:color w:val="000000"/>
                <w:sz w:val="20"/>
                <w:szCs w:val="20"/>
                <w:lang w:eastAsia="es-AR"/>
              </w:rPr>
              <w:t>prend</w:t>
            </w:r>
            <w:proofErr w:type="spellEnd"/>
            <w:r w:rsidRPr="008055B1">
              <w:rPr>
                <w:rFonts w:ascii="Arial Narrow" w:eastAsia="Times New Roman" w:hAnsi="Arial Narrow"/>
                <w:color w:val="000000"/>
                <w:sz w:val="20"/>
                <w:szCs w:val="20"/>
                <w:lang w:eastAsia="es-AR"/>
              </w:rPr>
              <w:t xml:space="preserve"> </w:t>
            </w:r>
            <w:proofErr w:type="spellStart"/>
            <w:r w:rsidRPr="008055B1">
              <w:rPr>
                <w:rFonts w:ascii="Arial Narrow" w:eastAsia="Times New Roman" w:hAnsi="Arial Narrow"/>
                <w:color w:val="000000"/>
                <w:sz w:val="20"/>
                <w:szCs w:val="20"/>
                <w:lang w:eastAsia="es-AR"/>
              </w:rPr>
              <w:t>Mill</w:t>
            </w:r>
            <w:proofErr w:type="spellEnd"/>
            <w:r w:rsidRPr="008055B1">
              <w:rPr>
                <w:rFonts w:ascii="Arial Narrow" w:eastAsia="Times New Roman" w:hAnsi="Arial Narrow"/>
                <w:color w:val="000000"/>
                <w:sz w:val="20"/>
                <w:szCs w:val="20"/>
                <w:lang w:eastAsia="es-AR"/>
              </w:rPr>
              <w:t xml:space="preserve"> $ 2015</w:t>
            </w:r>
          </w:p>
        </w:tc>
        <w:tc>
          <w:tcPr>
            <w:tcW w:w="873" w:type="dxa"/>
            <w:tcBorders>
              <w:top w:val="single" w:sz="4" w:space="0" w:color="auto"/>
              <w:left w:val="nil"/>
              <w:bottom w:val="single" w:sz="8"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-2,4%</w:t>
            </w:r>
          </w:p>
        </w:tc>
        <w:tc>
          <w:tcPr>
            <w:tcW w:w="919"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1,5%</w:t>
            </w:r>
          </w:p>
        </w:tc>
        <w:tc>
          <w:tcPr>
            <w:tcW w:w="887" w:type="dxa"/>
            <w:tcBorders>
              <w:top w:val="single" w:sz="4" w:space="0" w:color="auto"/>
              <w:left w:val="nil"/>
              <w:bottom w:val="single" w:sz="8" w:space="0" w:color="auto"/>
              <w:right w:val="single" w:sz="4"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000000"/>
                <w:sz w:val="20"/>
                <w:szCs w:val="20"/>
                <w:lang w:eastAsia="es-AR"/>
              </w:rPr>
            </w:pPr>
            <w:r w:rsidRPr="008055B1">
              <w:rPr>
                <w:rFonts w:ascii="Arial Narrow" w:eastAsia="Times New Roman" w:hAnsi="Arial Narrow" w:cs="Calibri"/>
                <w:b/>
                <w:bCs/>
                <w:color w:val="000000"/>
                <w:sz w:val="20"/>
                <w:szCs w:val="20"/>
                <w:lang w:eastAsia="es-AR"/>
              </w:rPr>
              <w:t>6,9%</w:t>
            </w:r>
          </w:p>
        </w:tc>
        <w:tc>
          <w:tcPr>
            <w:tcW w:w="868" w:type="dxa"/>
            <w:tcBorders>
              <w:top w:val="single" w:sz="4" w:space="0" w:color="auto"/>
              <w:left w:val="nil"/>
              <w:bottom w:val="single" w:sz="8" w:space="0" w:color="auto"/>
              <w:right w:val="single" w:sz="4" w:space="0" w:color="auto"/>
            </w:tcBorders>
            <w:shd w:val="clear" w:color="auto" w:fill="FFEBFF"/>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2,3%</w:t>
            </w:r>
          </w:p>
        </w:tc>
        <w:tc>
          <w:tcPr>
            <w:tcW w:w="833" w:type="dxa"/>
            <w:tcBorders>
              <w:top w:val="nil"/>
              <w:left w:val="single" w:sz="4" w:space="0" w:color="auto"/>
              <w:bottom w:val="single" w:sz="8" w:space="0" w:color="auto"/>
              <w:right w:val="single" w:sz="8" w:space="0" w:color="auto"/>
            </w:tcBorders>
            <w:shd w:val="clear" w:color="auto" w:fill="auto"/>
            <w:noWrap/>
            <w:vAlign w:val="center"/>
            <w:hideMark/>
          </w:tcPr>
          <w:p w:rsidR="008055B1" w:rsidRPr="008055B1" w:rsidRDefault="008055B1" w:rsidP="008055B1">
            <w:pPr>
              <w:spacing w:before="0" w:after="0"/>
              <w:jc w:val="center"/>
              <w:rPr>
                <w:rFonts w:ascii="Arial Narrow" w:eastAsia="Times New Roman" w:hAnsi="Arial Narrow" w:cs="Calibri"/>
                <w:b/>
                <w:bCs/>
                <w:color w:val="FF0000"/>
                <w:sz w:val="20"/>
                <w:szCs w:val="20"/>
                <w:lang w:eastAsia="es-AR"/>
              </w:rPr>
            </w:pPr>
            <w:r w:rsidRPr="008055B1">
              <w:rPr>
                <w:rFonts w:ascii="Arial Narrow" w:eastAsia="Times New Roman" w:hAnsi="Arial Narrow" w:cs="Calibri"/>
                <w:b/>
                <w:bCs/>
                <w:color w:val="FF0000"/>
                <w:sz w:val="20"/>
                <w:szCs w:val="20"/>
                <w:lang w:eastAsia="es-AR"/>
              </w:rPr>
              <w:t> </w:t>
            </w:r>
          </w:p>
        </w:tc>
      </w:tr>
    </w:tbl>
    <w:p w:rsidR="009505C5" w:rsidRPr="009505C5" w:rsidRDefault="009505C5" w:rsidP="009505C5">
      <w:pPr>
        <w:pStyle w:val="Prrafodelista"/>
        <w:spacing w:before="0" w:after="0"/>
        <w:ind w:left="142" w:right="368"/>
        <w:contextualSpacing w:val="0"/>
        <w:jc w:val="center"/>
        <w:rPr>
          <w:rFonts w:ascii="Arial Narrow" w:hAnsi="Arial Narrow"/>
          <w:sz w:val="18"/>
          <w:szCs w:val="18"/>
        </w:rPr>
      </w:pPr>
      <w:r w:rsidRPr="009505C5">
        <w:rPr>
          <w:rFonts w:ascii="Arial Narrow" w:hAnsi="Arial Narrow"/>
          <w:sz w:val="18"/>
          <w:szCs w:val="18"/>
        </w:rPr>
        <w:t>Fuente: INDEC-FIEL-ADIMRA-BCRA</w:t>
      </w:r>
    </w:p>
    <w:p w:rsidR="00B378AE" w:rsidRDefault="00B378AE" w:rsidP="00B378AE">
      <w:pPr>
        <w:pStyle w:val="Prrafodelista"/>
        <w:ind w:left="142" w:right="369"/>
        <w:contextualSpacing w:val="0"/>
        <w:rPr>
          <w:bCs/>
        </w:rPr>
      </w:pPr>
      <w:r>
        <w:rPr>
          <w:bCs/>
        </w:rPr>
        <w:t>L</w:t>
      </w:r>
      <w:r w:rsidRPr="00B378AE">
        <w:rPr>
          <w:bCs/>
        </w:rPr>
        <w:t xml:space="preserve">os datos que se van conociendo </w:t>
      </w:r>
      <w:r>
        <w:rPr>
          <w:bCs/>
        </w:rPr>
        <w:t xml:space="preserve">de julio y agosto </w:t>
      </w:r>
      <w:r w:rsidRPr="00B378AE">
        <w:rPr>
          <w:bCs/>
        </w:rPr>
        <w:t xml:space="preserve">ya no son todos negativos y comienzan a verse algunos signos de recuperación, </w:t>
      </w:r>
      <w:r>
        <w:rPr>
          <w:bCs/>
        </w:rPr>
        <w:t xml:space="preserve">aunque muy </w:t>
      </w:r>
      <w:r w:rsidRPr="00B378AE">
        <w:rPr>
          <w:bCs/>
        </w:rPr>
        <w:t xml:space="preserve">lejos todavía de poder hablar de un rebote. Así la semana pasada tuvimos el dato del índice de producción industrial </w:t>
      </w:r>
      <w:r>
        <w:rPr>
          <w:bCs/>
        </w:rPr>
        <w:t xml:space="preserve">IPI </w:t>
      </w:r>
      <w:r w:rsidRPr="00B378AE">
        <w:rPr>
          <w:bCs/>
        </w:rPr>
        <w:t>de julio que mostró una recuperación de</w:t>
      </w:r>
      <w:r>
        <w:rPr>
          <w:bCs/>
        </w:rPr>
        <w:t xml:space="preserve"> casi 17% mes a mes </w:t>
      </w:r>
      <w:r w:rsidRPr="00B378AE">
        <w:rPr>
          <w:bCs/>
        </w:rPr>
        <w:t xml:space="preserve">y la construcción en </w:t>
      </w:r>
      <w:r>
        <w:rPr>
          <w:bCs/>
        </w:rPr>
        <w:t>22%, también para el mismo mes.</w:t>
      </w:r>
    </w:p>
    <w:p w:rsidR="00B378AE" w:rsidRDefault="00B378AE" w:rsidP="00B378AE">
      <w:pPr>
        <w:pStyle w:val="Prrafodelista"/>
        <w:ind w:left="142" w:right="368"/>
        <w:contextualSpacing w:val="0"/>
        <w:rPr>
          <w:bCs/>
        </w:rPr>
      </w:pPr>
      <w:r w:rsidRPr="00B378AE">
        <w:rPr>
          <w:bCs/>
        </w:rPr>
        <w:t>En el mismo sentido la recaudación de agosto tanto del IVA DGI como del impuesto al crédito y débito (impuesto al cheque), dos impuestos asociados con el nivel de actividad, arrojaron un</w:t>
      </w:r>
      <w:r>
        <w:rPr>
          <w:bCs/>
        </w:rPr>
        <w:t>a mejora en agosto</w:t>
      </w:r>
      <w:r w:rsidRPr="00B378AE">
        <w:rPr>
          <w:bCs/>
        </w:rPr>
        <w:t xml:space="preserve"> en términos reales del </w:t>
      </w:r>
      <w:r>
        <w:rPr>
          <w:bCs/>
        </w:rPr>
        <w:t>0,1</w:t>
      </w:r>
      <w:r w:rsidRPr="00B378AE">
        <w:rPr>
          <w:bCs/>
        </w:rPr>
        <w:t xml:space="preserve">% y </w:t>
      </w:r>
      <w:r>
        <w:rPr>
          <w:bCs/>
        </w:rPr>
        <w:t>8,1</w:t>
      </w:r>
      <w:r w:rsidRPr="00B378AE">
        <w:rPr>
          <w:bCs/>
        </w:rPr>
        <w:t>% respectivamente.</w:t>
      </w:r>
    </w:p>
    <w:p w:rsidR="00C751CA" w:rsidRDefault="002A086D" w:rsidP="00C751CA">
      <w:pPr>
        <w:pStyle w:val="Prrafodelista"/>
        <w:ind w:left="142" w:right="369"/>
        <w:contextualSpacing w:val="0"/>
      </w:pPr>
      <w:r>
        <w:t>C</w:t>
      </w:r>
      <w:r>
        <w:t>onsiderado</w:t>
      </w:r>
      <w:r>
        <w:t xml:space="preserve">s </w:t>
      </w:r>
      <w:r>
        <w:t xml:space="preserve">los indicadores </w:t>
      </w:r>
      <w:r>
        <w:t xml:space="preserve">en conjunto en el cuadro </w:t>
      </w:r>
      <w:r>
        <w:t>1, l</w:t>
      </w:r>
      <w:r>
        <w:t>a economía parece estar en lo que podría ser un punto de inflexión para saber si logra estabilizarse y dejar atrás la recesión o si lo visto hasta ahora es una simple recomposición de stocks o una pausa en la caída.</w:t>
      </w:r>
      <w:r w:rsidR="00C751CA">
        <w:t xml:space="preserve"> Los datos s</w:t>
      </w:r>
      <w:r w:rsidR="00265746">
        <w:t xml:space="preserve">ugieren que la actividad habría hecho piso en junio y </w:t>
      </w:r>
      <w:r>
        <w:t>ha</w:t>
      </w:r>
      <w:r w:rsidR="00265746">
        <w:t xml:space="preserve"> supera</w:t>
      </w:r>
      <w:r>
        <w:t>do</w:t>
      </w:r>
      <w:r w:rsidR="00265746">
        <w:t xml:space="preserve"> la temporada de invierno, como dijimos antes, con mejores perspectivas.</w:t>
      </w:r>
      <w:r>
        <w:t xml:space="preserve"> </w:t>
      </w:r>
      <w:r w:rsidR="008C5D03">
        <w:t>E</w:t>
      </w:r>
      <w:r w:rsidR="00DC1BFF">
        <w:t>n Julio y Agosto se registra</w:t>
      </w:r>
      <w:r>
        <w:t>ron</w:t>
      </w:r>
      <w:r w:rsidR="00DC1BFF">
        <w:t xml:space="preserve"> vacaciones de invierno</w:t>
      </w:r>
      <w:r w:rsidR="00243233">
        <w:t xml:space="preserve">, sumado al medio aguinaldo, impacta en </w:t>
      </w:r>
      <w:r w:rsidR="00DC1BFF" w:rsidRPr="00DC1BFF">
        <w:t xml:space="preserve">la gastronomía y la hotelería </w:t>
      </w:r>
      <w:r w:rsidR="00243233">
        <w:t>en ciudades turísticas que sufren naturalmente un repunte. De todas formas e</w:t>
      </w:r>
      <w:r w:rsidR="00243233" w:rsidRPr="00243233">
        <w:t>stamos en rojo</w:t>
      </w:r>
      <w:r>
        <w:t xml:space="preserve"> en varios renglones</w:t>
      </w:r>
      <w:r w:rsidR="00243233">
        <w:t xml:space="preserve">, como </w:t>
      </w:r>
      <w:r w:rsidR="00C751CA">
        <w:t xml:space="preserve">también </w:t>
      </w:r>
      <w:r w:rsidR="00243233">
        <w:t xml:space="preserve">se ve en el cuadro 1, </w:t>
      </w:r>
      <w:r w:rsidR="00243233" w:rsidRPr="00243233">
        <w:t xml:space="preserve">y </w:t>
      </w:r>
      <w:r w:rsidR="007303CB">
        <w:t>los indicios</w:t>
      </w:r>
      <w:r w:rsidR="00243233">
        <w:t xml:space="preserve"> </w:t>
      </w:r>
      <w:r w:rsidR="00243233" w:rsidRPr="00243233">
        <w:t xml:space="preserve">para suponer un cambio </w:t>
      </w:r>
      <w:r w:rsidR="00243233">
        <w:t xml:space="preserve">radical </w:t>
      </w:r>
      <w:r w:rsidR="007303CB">
        <w:t>de color son por ahora especulaciones.</w:t>
      </w:r>
      <w:r w:rsidR="00243233" w:rsidRPr="00243233">
        <w:t xml:space="preserve"> </w:t>
      </w:r>
    </w:p>
    <w:p w:rsidR="002A086D" w:rsidRPr="00C751CA" w:rsidRDefault="002A086D" w:rsidP="00C751CA">
      <w:pPr>
        <w:pStyle w:val="Prrafodelista"/>
        <w:ind w:left="142" w:right="369"/>
        <w:contextualSpacing w:val="0"/>
        <w:rPr>
          <w:bCs/>
        </w:rPr>
      </w:pPr>
      <w:r w:rsidRPr="00C751CA">
        <w:rPr>
          <w:bCs/>
        </w:rPr>
        <w:t>La recomposición de tarifas ya ha demostrado ser capaz de truncar recuperaciones al disminuir el ingreso disponible para el consumo, también ha sido responsable de un segundo impacto en la inflación cuando las empresas trasladan a sus productos ese mayor costo, impacto que el gobierno espera suavizar con la disminución del impuesto país.</w:t>
      </w:r>
    </w:p>
    <w:p w:rsidR="00243233" w:rsidRDefault="00243233" w:rsidP="007303CB">
      <w:pPr>
        <w:pStyle w:val="Prrafodelista"/>
        <w:ind w:left="142" w:right="369"/>
        <w:contextualSpacing w:val="0"/>
      </w:pPr>
      <w:r>
        <w:t>Si observamos el Cuadro 2 con los datos mensuales del mismo grupo de indicadores que antes pero comparados con el mismo mes del año anterior</w:t>
      </w:r>
      <w:r w:rsidR="0065243B">
        <w:t xml:space="preserve"> (</w:t>
      </w:r>
      <w:r>
        <w:t>como se debe hacer</w:t>
      </w:r>
      <w:r w:rsidR="0065243B">
        <w:t>)</w:t>
      </w:r>
      <w:r>
        <w:t xml:space="preserve"> los datos de actividad </w:t>
      </w:r>
      <w:r>
        <w:lastRenderedPageBreak/>
        <w:t>anticipan que la economía cayó en ju</w:t>
      </w:r>
      <w:r w:rsidR="00A216C8">
        <w:t xml:space="preserve">lio, y sigue cayendo en agosto, </w:t>
      </w:r>
      <w:r>
        <w:t>y</w:t>
      </w:r>
      <w:r w:rsidR="001D073D">
        <w:t xml:space="preserve"> </w:t>
      </w:r>
      <w:r>
        <w:t xml:space="preserve">que la caída </w:t>
      </w:r>
      <w:r w:rsidR="00A216C8">
        <w:t>desde noviembre 2023</w:t>
      </w:r>
      <w:r>
        <w:t xml:space="preserve"> fue más profunda de lo que se creía.</w:t>
      </w:r>
      <w:r w:rsidR="001D073D">
        <w:t xml:space="preserve"> Todo rojo sin contemplaciones.</w:t>
      </w:r>
    </w:p>
    <w:p w:rsidR="00F22815" w:rsidRPr="00F22815" w:rsidRDefault="00F22815" w:rsidP="007303CB">
      <w:pPr>
        <w:pStyle w:val="Prrafodelista"/>
        <w:ind w:left="142" w:right="369"/>
        <w:contextualSpacing w:val="0"/>
        <w:rPr>
          <w:b/>
          <w:i/>
        </w:rPr>
      </w:pPr>
      <w:r w:rsidRPr="00F22815">
        <w:rPr>
          <w:b/>
          <w:i/>
        </w:rPr>
        <w:t>Septiembre</w:t>
      </w:r>
    </w:p>
    <w:p w:rsidR="00B27642" w:rsidRDefault="00F22815" w:rsidP="00F22815">
      <w:pPr>
        <w:pStyle w:val="Prrafodelista"/>
        <w:ind w:left="142" w:right="369"/>
        <w:contextualSpacing w:val="0"/>
      </w:pPr>
      <w:r>
        <w:t>El cuadro de situación no pinta bien. Los niveles de pobreza lograron la</w:t>
      </w:r>
      <w:r>
        <w:t xml:space="preserve"> cifra más alta en 21 años, en un escenario de caída de los ingresos</w:t>
      </w:r>
      <w:r w:rsidR="008E23A9">
        <w:t xml:space="preserve"> (1er semestre 24 vs 1er semestre 23)</w:t>
      </w:r>
      <w:r>
        <w:t xml:space="preserve"> producto de la aceleración inflacionaria y la recesión por el impacto de la devaluación y el ajuste fiscal que signó los primeros meses de gestión de J</w:t>
      </w:r>
      <w:r>
        <w:t>GM</w:t>
      </w:r>
      <w:r>
        <w:t>. Y aunque el Gobierno aspiraba a un rebote económico en forma de V, los economistas desechan esa chance y proyectan una recuperación económica lenta, tipo serr</w:t>
      </w:r>
      <w:r w:rsidR="00B27642">
        <w:t>ucho, alternando subas y bajas.</w:t>
      </w:r>
    </w:p>
    <w:p w:rsidR="00B27642" w:rsidRDefault="00C62F27" w:rsidP="007303CB">
      <w:pPr>
        <w:pStyle w:val="Prrafodelista"/>
        <w:ind w:left="142" w:right="369"/>
        <w:contextualSpacing w:val="0"/>
      </w:pPr>
      <w:r w:rsidRPr="00C62F27">
        <w:rPr>
          <w:b/>
        </w:rPr>
        <w:t>1)</w:t>
      </w:r>
      <w:r>
        <w:t xml:space="preserve"> </w:t>
      </w:r>
      <w:r w:rsidR="00F22815">
        <w:t xml:space="preserve">El Estimador Mensual de Actividad Económica cayó en julio </w:t>
      </w:r>
      <w:r w:rsidR="00B27642">
        <w:t>-</w:t>
      </w:r>
      <w:r w:rsidR="00F22815">
        <w:t>1,3% en la comparación interanual</w:t>
      </w:r>
      <w:r w:rsidR="008E23A9">
        <w:t xml:space="preserve"> (cuadro 2)</w:t>
      </w:r>
      <w:r w:rsidR="00F22815">
        <w:t>, pero creció 1</w:t>
      </w:r>
      <w:r w:rsidR="00B27642">
        <w:t>,03</w:t>
      </w:r>
      <w:r w:rsidR="00F22815">
        <w:t>% contra junio</w:t>
      </w:r>
      <w:r w:rsidR="008E23A9">
        <w:t xml:space="preserve"> (cuadro 1)</w:t>
      </w:r>
      <w:r w:rsidR="00F22815">
        <w:t xml:space="preserve">, </w:t>
      </w:r>
      <w:r w:rsidR="00B27642">
        <w:t xml:space="preserve">una </w:t>
      </w:r>
      <w:r w:rsidR="00F22815">
        <w:t xml:space="preserve">suba mensual </w:t>
      </w:r>
      <w:r w:rsidR="00B27642">
        <w:t>importante en comparación con junio</w:t>
      </w:r>
      <w:r w:rsidR="008E23A9">
        <w:t xml:space="preserve"> respecto mayo</w:t>
      </w:r>
      <w:r w:rsidR="00B27642">
        <w:t>.</w:t>
      </w:r>
      <w:r w:rsidR="00F22815">
        <w:t xml:space="preserve"> </w:t>
      </w:r>
      <w:r w:rsidR="00B27642">
        <w:t xml:space="preserve">Sin embargo si bien las consultoras </w:t>
      </w:r>
      <w:r w:rsidR="00B27642" w:rsidRPr="00B27642">
        <w:t>concuerdan que lo peor ya pasó, y que se tocó el piso de la actividad en el segundo trimestre</w:t>
      </w:r>
      <w:r w:rsidR="00B27642">
        <w:t xml:space="preserve">, </w:t>
      </w:r>
      <w:r w:rsidR="00B27642" w:rsidRPr="00B27642">
        <w:t>las primeras estimaciones reflejan que en agosto los datos no son tan alentadores y se frenó en el ritmo de recuperación</w:t>
      </w:r>
      <w:r w:rsidR="00B27642">
        <w:t xml:space="preserve"> (ver cuadro 2)</w:t>
      </w:r>
      <w:r w:rsidR="00B27642" w:rsidRPr="00B27642">
        <w:t>.</w:t>
      </w:r>
      <w:r w:rsidR="00B27642">
        <w:t xml:space="preserve"> </w:t>
      </w:r>
    </w:p>
    <w:p w:rsidR="0065243B" w:rsidRDefault="00B27642" w:rsidP="00C62F27">
      <w:pPr>
        <w:pStyle w:val="Prrafodelista"/>
        <w:ind w:left="142" w:right="369"/>
        <w:contextualSpacing w:val="0"/>
      </w:pPr>
      <w:r>
        <w:t xml:space="preserve">Aunque </w:t>
      </w:r>
      <w:r w:rsidR="007303CB">
        <w:t>s</w:t>
      </w:r>
      <w:r w:rsidR="0065243B">
        <w:t>i realmente la actividad se recupera, comenzarán a surgir las presiones en el frente externo</w:t>
      </w:r>
      <w:r w:rsidR="007303CB">
        <w:rPr>
          <w:rStyle w:val="Refdenotaalpie"/>
        </w:rPr>
        <w:footnoteReference w:id="1"/>
      </w:r>
      <w:r w:rsidR="0065243B">
        <w:t xml:space="preserve">. </w:t>
      </w:r>
      <w:r w:rsidR="007303CB">
        <w:t>E</w:t>
      </w:r>
      <w:r w:rsidR="0065243B">
        <w:t>l volumen de las importaciones tiene una elasticidad de 3</w:t>
      </w:r>
      <w:r w:rsidR="007303CB">
        <w:t>,5%</w:t>
      </w:r>
      <w:r w:rsidR="0065243B">
        <w:t xml:space="preserve"> con respecto al nivel de actividad. Por lo tanto, la reactivación económica podría obstaculizar la acumulación de reservas. En este sentido,</w:t>
      </w:r>
      <w:r>
        <w:t xml:space="preserve"> las importaciones mostraron una caída </w:t>
      </w:r>
      <w:r w:rsidR="0065243B">
        <w:t xml:space="preserve">en </w:t>
      </w:r>
      <w:r>
        <w:t>agosto de -16%</w:t>
      </w:r>
      <w:r w:rsidR="00C62F27">
        <w:t xml:space="preserve"> después de un crecimiento importante en julio</w:t>
      </w:r>
      <w:r w:rsidR="0065243B">
        <w:t>.</w:t>
      </w:r>
    </w:p>
    <w:p w:rsidR="00BB41B0" w:rsidRDefault="00BB41B0" w:rsidP="00E01BBD">
      <w:pPr>
        <w:pStyle w:val="Prrafodelista"/>
        <w:spacing w:before="60" w:after="60"/>
        <w:ind w:left="142" w:right="368"/>
        <w:contextualSpacing w:val="0"/>
      </w:pPr>
      <w:r w:rsidRPr="00A143FC">
        <w:rPr>
          <w:b/>
        </w:rPr>
        <w:t>2)</w:t>
      </w:r>
      <w:r>
        <w:t xml:space="preserve"> El índice LIDER de la UTDT es lapidario. </w:t>
      </w:r>
      <w:r w:rsidR="00CA509A">
        <w:t>Tuvo una caída de</w:t>
      </w:r>
      <w:r w:rsidRPr="00BB41B0">
        <w:t xml:space="preserve"> -</w:t>
      </w:r>
      <w:r>
        <w:t>1</w:t>
      </w:r>
      <w:r w:rsidR="00CA509A">
        <w:t>%</w:t>
      </w:r>
      <w:r>
        <w:t xml:space="preserve"> </w:t>
      </w:r>
      <w:r w:rsidRPr="00BB41B0">
        <w:t xml:space="preserve">en </w:t>
      </w:r>
      <w:r w:rsidR="00C62F27">
        <w:t>agosto</w:t>
      </w:r>
      <w:r w:rsidR="00CA509A">
        <w:t xml:space="preserve"> respecto de </w:t>
      </w:r>
      <w:r w:rsidR="00C62F27">
        <w:t>julio</w:t>
      </w:r>
      <w:r w:rsidRPr="00BB41B0">
        <w:t xml:space="preserve">, </w:t>
      </w:r>
      <w:r>
        <w:t>y -1</w:t>
      </w:r>
      <w:r w:rsidR="00C62F27">
        <w:t>1</w:t>
      </w:r>
      <w:r w:rsidR="00CA509A">
        <w:t>%</w:t>
      </w:r>
      <w:r>
        <w:t xml:space="preserve"> </w:t>
      </w:r>
      <w:r w:rsidR="00CA509A">
        <w:t>sobre</w:t>
      </w:r>
      <w:r>
        <w:t xml:space="preserve"> </w:t>
      </w:r>
      <w:r w:rsidRPr="00BB41B0">
        <w:t>el mes de nov 23</w:t>
      </w:r>
      <w:r>
        <w:t>.</w:t>
      </w:r>
    </w:p>
    <w:p w:rsidR="00802CBA" w:rsidRDefault="00BB41B0" w:rsidP="00A143FC">
      <w:pPr>
        <w:pStyle w:val="Prrafodelista"/>
        <w:spacing w:after="60"/>
        <w:ind w:left="142" w:right="369"/>
        <w:contextualSpacing w:val="0"/>
      </w:pPr>
      <w:r w:rsidRPr="00A143FC">
        <w:rPr>
          <w:b/>
        </w:rPr>
        <w:t>3/4/5/6</w:t>
      </w:r>
      <w:r>
        <w:t xml:space="preserve">) </w:t>
      </w:r>
      <w:r w:rsidR="00443628">
        <w:t xml:space="preserve">En cuanto a la industria, </w:t>
      </w:r>
      <w:r>
        <w:t xml:space="preserve">los índices tanto del INDEC como de FIEL y ADIMRA </w:t>
      </w:r>
      <w:r w:rsidR="00443628">
        <w:t>m</w:t>
      </w:r>
      <w:r>
        <w:t xml:space="preserve">uestran </w:t>
      </w:r>
      <w:r w:rsidR="00CA509A">
        <w:t>bajas</w:t>
      </w:r>
      <w:r>
        <w:t xml:space="preserve"> significativas</w:t>
      </w:r>
      <w:r w:rsidR="00A143FC">
        <w:t>. La</w:t>
      </w:r>
      <w:r w:rsidR="00C57B91">
        <w:t xml:space="preserve"> industria representa</w:t>
      </w:r>
      <w:r w:rsidR="00A143FC">
        <w:t xml:space="preserve"> el 20% </w:t>
      </w:r>
      <w:r w:rsidR="00CA509A">
        <w:t xml:space="preserve">sectorial </w:t>
      </w:r>
      <w:r w:rsidR="00A143FC">
        <w:t>aproximadamente</w:t>
      </w:r>
      <w:r w:rsidR="00CA509A">
        <w:t xml:space="preserve"> y su movimiento tiene fuerte impacto en el PBI</w:t>
      </w:r>
      <w:r>
        <w:t>. E</w:t>
      </w:r>
      <w:r w:rsidR="00802CBA" w:rsidRPr="00802CBA">
        <w:t xml:space="preserve">l sector manifiesta que la depresión en la demanda interna es el factor que más incide en estos números. </w:t>
      </w:r>
    </w:p>
    <w:p w:rsidR="00D51297" w:rsidRPr="00D51297" w:rsidRDefault="00D51297" w:rsidP="00A143FC">
      <w:pPr>
        <w:pStyle w:val="Prrafodelista"/>
        <w:spacing w:after="60"/>
        <w:ind w:left="142" w:right="369"/>
        <w:contextualSpacing w:val="0"/>
      </w:pPr>
      <w:r>
        <w:rPr>
          <w:b/>
        </w:rPr>
        <w:t>7/8</w:t>
      </w:r>
      <w:r w:rsidRPr="00D51297">
        <w:t>) La producción de acero y el despacho de cemento es un síntoma que la construcción y la industria metalúrgica no la están pasando bien.</w:t>
      </w:r>
    </w:p>
    <w:p w:rsidR="00D51297" w:rsidRPr="00D51297" w:rsidRDefault="00D51297" w:rsidP="00A143FC">
      <w:pPr>
        <w:pStyle w:val="Prrafodelista"/>
        <w:spacing w:after="60"/>
        <w:ind w:left="142" w:right="369"/>
        <w:contextualSpacing w:val="0"/>
      </w:pPr>
      <w:r>
        <w:rPr>
          <w:b/>
        </w:rPr>
        <w:t xml:space="preserve">10) </w:t>
      </w:r>
      <w:r w:rsidRPr="00D51297">
        <w:t xml:space="preserve">El </w:t>
      </w:r>
      <w:proofErr w:type="spellStart"/>
      <w:r w:rsidRPr="00D51297">
        <w:t>patentamiento</w:t>
      </w:r>
      <w:proofErr w:type="spellEnd"/>
      <w:r w:rsidRPr="00D51297">
        <w:t xml:space="preserve"> de autos es el único indicador que ofrece algún tipo de optimismo. Quizás haya influido la eliminación del </w:t>
      </w:r>
      <w:r>
        <w:t>impuesto País.</w:t>
      </w:r>
    </w:p>
    <w:p w:rsidR="00BB41B0" w:rsidRDefault="00C62F27" w:rsidP="00CA509A">
      <w:pPr>
        <w:pStyle w:val="Prrafodelista"/>
        <w:spacing w:after="60"/>
        <w:ind w:left="142" w:right="369"/>
        <w:contextualSpacing w:val="0"/>
      </w:pPr>
      <w:r>
        <w:rPr>
          <w:b/>
        </w:rPr>
        <w:t>12</w:t>
      </w:r>
      <w:r w:rsidR="00BB41B0" w:rsidRPr="00CA509A">
        <w:rPr>
          <w:b/>
        </w:rPr>
        <w:t>)</w:t>
      </w:r>
      <w:r w:rsidR="00BB41B0">
        <w:t xml:space="preserve"> Los asalariados privados formales son 1</w:t>
      </w:r>
      <w:r>
        <w:t>37</w:t>
      </w:r>
      <w:r w:rsidR="00BB41B0">
        <w:t xml:space="preserve">.000 menos que </w:t>
      </w:r>
      <w:r>
        <w:t>en Nov 23</w:t>
      </w:r>
      <w:r w:rsidR="00BB41B0">
        <w:t xml:space="preserve">, un -2%, y el total de asalariados </w:t>
      </w:r>
      <w:r>
        <w:t>-43.000</w:t>
      </w:r>
      <w:r w:rsidR="00D51297">
        <w:t>,</w:t>
      </w:r>
      <w:r w:rsidR="00BB41B0">
        <w:t xml:space="preserve"> lo cual </w:t>
      </w:r>
      <w:r w:rsidR="00D51297">
        <w:t>es disimulado por un mejor nivel de salarios reales</w:t>
      </w:r>
      <w:r w:rsidR="00BB41B0">
        <w:t>.</w:t>
      </w:r>
    </w:p>
    <w:p w:rsidR="00BB41B0" w:rsidRDefault="00C62F27" w:rsidP="00CA509A">
      <w:pPr>
        <w:pStyle w:val="Prrafodelista"/>
        <w:ind w:left="142" w:right="369"/>
        <w:contextualSpacing w:val="0"/>
      </w:pPr>
      <w:r>
        <w:rPr>
          <w:b/>
        </w:rPr>
        <w:t>13/14</w:t>
      </w:r>
      <w:r w:rsidR="00BB41B0" w:rsidRPr="00CA509A">
        <w:rPr>
          <w:b/>
        </w:rPr>
        <w:t>)</w:t>
      </w:r>
      <w:r w:rsidR="00BB41B0">
        <w:t xml:space="preserve"> Los indicadores impositivos son </w:t>
      </w:r>
      <w:r>
        <w:t xml:space="preserve">más optimistas respecto </w:t>
      </w:r>
      <w:r w:rsidR="00BB41B0">
        <w:t xml:space="preserve">del consumo y de la actividad en general. </w:t>
      </w:r>
      <w:r w:rsidR="00B519A0">
        <w:t xml:space="preserve">Tanto el impuesto al cheque como el IVA </w:t>
      </w:r>
      <w:r>
        <w:t>muestran cierta recuperación</w:t>
      </w:r>
      <w:r w:rsidR="00B519A0">
        <w:t>.</w:t>
      </w:r>
    </w:p>
    <w:p w:rsidR="00BB41B0" w:rsidRDefault="00BB41B0" w:rsidP="00E01BBD">
      <w:pPr>
        <w:pStyle w:val="Prrafodelista"/>
        <w:spacing w:before="60" w:after="60"/>
        <w:ind w:left="142" w:right="368"/>
        <w:contextualSpacing w:val="0"/>
      </w:pPr>
      <w:r w:rsidRPr="00CA509A">
        <w:rPr>
          <w:b/>
        </w:rPr>
        <w:t>1</w:t>
      </w:r>
      <w:r w:rsidR="00C62F27">
        <w:rPr>
          <w:b/>
        </w:rPr>
        <w:t>5</w:t>
      </w:r>
      <w:r w:rsidRPr="00CA509A">
        <w:rPr>
          <w:b/>
        </w:rPr>
        <w:t>)</w:t>
      </w:r>
      <w:r>
        <w:t xml:space="preserve"> </w:t>
      </w:r>
      <w:r w:rsidR="00B519A0">
        <w:t xml:space="preserve">Los préstamos con garantía real tienen caídas </w:t>
      </w:r>
      <w:r w:rsidR="00CA509A">
        <w:t>que superan el -40% en valores constantes</w:t>
      </w:r>
      <w:r w:rsidR="00B519A0">
        <w:t xml:space="preserve"> síntoma de la falta de perspectivas de un mercado cada vez más reducido.</w:t>
      </w:r>
    </w:p>
    <w:p w:rsidR="00D51297" w:rsidRDefault="00EA4A61" w:rsidP="00D51297">
      <w:pPr>
        <w:pStyle w:val="Prrafodelista"/>
        <w:ind w:left="142" w:right="369"/>
        <w:contextualSpacing w:val="0"/>
      </w:pPr>
      <w:r>
        <w:t xml:space="preserve">En síntesis, </w:t>
      </w:r>
      <w:r w:rsidR="00D51297">
        <w:t xml:space="preserve">para el tercer trimestre </w:t>
      </w:r>
      <w:r w:rsidR="00D51297">
        <w:t xml:space="preserve">puede suceder </w:t>
      </w:r>
      <w:r w:rsidR="00D51297">
        <w:t>una variación trimestral levemente positiva, funda</w:t>
      </w:r>
      <w:r w:rsidR="00D51297">
        <w:t>mentalmente por la construcción</w:t>
      </w:r>
      <w:r w:rsidR="00D51297">
        <w:t>.</w:t>
      </w:r>
      <w:r w:rsidR="00D51297">
        <w:t xml:space="preserve"> </w:t>
      </w:r>
      <w:r w:rsidR="00D51297">
        <w:t xml:space="preserve">Recién en el cuarto trimestre </w:t>
      </w:r>
      <w:r w:rsidR="00D51297">
        <w:t xml:space="preserve">puede aparecer </w:t>
      </w:r>
      <w:r w:rsidR="00D51297">
        <w:t xml:space="preserve">un dato positivo por el lado de la industria, fundamentalmente impulsado por la construcción, dado que el blanqueo va a ayudar a ese sector, aunque también va a depender de cómo venga </w:t>
      </w:r>
      <w:r w:rsidR="00D51297">
        <w:t>la brecha d</w:t>
      </w:r>
      <w:r w:rsidR="00D51297">
        <w:t xml:space="preserve">el tipo de cambio. </w:t>
      </w:r>
      <w:r w:rsidR="008E23A9">
        <w:t>Como señalamos al principio no se</w:t>
      </w:r>
      <w:r w:rsidR="00D51297">
        <w:t xml:space="preserve"> ve chances de</w:t>
      </w:r>
      <w:bookmarkStart w:id="0" w:name="_GoBack"/>
      <w:bookmarkEnd w:id="0"/>
      <w:r w:rsidR="00D51297">
        <w:t xml:space="preserve"> una recuperación rápida e</w:t>
      </w:r>
      <w:r w:rsidR="00D51297">
        <w:t xml:space="preserve">n forma de V, sino que avizora </w:t>
      </w:r>
      <w:r w:rsidR="00D51297">
        <w:t xml:space="preserve">una dinámica en L o sea con </w:t>
      </w:r>
      <w:r w:rsidR="00D51297">
        <w:t>“</w:t>
      </w:r>
      <w:r w:rsidR="00D51297">
        <w:t>estancamiento" porque prevé que a los sectores relacionados con servicios "les va a costar recuperarse porque eso está muy atado al consumo y al salario".</w:t>
      </w:r>
    </w:p>
    <w:p w:rsidR="00E01BBD" w:rsidRDefault="00455EC8" w:rsidP="00CA509A">
      <w:pPr>
        <w:pStyle w:val="Prrafodelista"/>
        <w:ind w:left="142" w:right="369"/>
        <w:contextualSpacing w:val="0"/>
      </w:pPr>
      <w:r>
        <w:t>El nivel del salario real no impulsa ninguna actividad vinculada con el consumo</w:t>
      </w:r>
      <w:r w:rsidR="00D51297">
        <w:t xml:space="preserve"> (a pesar del entusiasmo del gobierno)</w:t>
      </w:r>
      <w:r>
        <w:t xml:space="preserve">, el TCRM tampoco lo hace con las exportaciones, y la industria y la construcción se encuentran en terapia </w:t>
      </w:r>
      <w:r w:rsidR="0035479A">
        <w:t>intensiva</w:t>
      </w:r>
      <w:r w:rsidR="00D51297">
        <w:t xml:space="preserve"> y quizás en unos meses podrían pasar a terapia intermedia.</w:t>
      </w:r>
      <w:r>
        <w:t xml:space="preserve"> Por lo tanto vale la pena preguntar… </w:t>
      </w:r>
      <w:r w:rsidR="00E01BBD">
        <w:t>¿cómo seguimos?</w:t>
      </w:r>
    </w:p>
    <w:p w:rsidR="000747C5" w:rsidRDefault="00D6716E" w:rsidP="00C57B91">
      <w:pPr>
        <w:pStyle w:val="Prrafodelista"/>
        <w:spacing w:after="60"/>
        <w:ind w:left="142" w:right="369"/>
        <w:contextualSpacing w:val="0"/>
      </w:pPr>
      <w:r>
        <w:lastRenderedPageBreak/>
        <w:t>Cuando la última columna del cuadro de abajo muestre más valores positivos que negativos podremos decir que estamos despegando del piso.</w:t>
      </w:r>
    </w:p>
    <w:p w:rsidR="00535A2A" w:rsidRPr="00C57B91" w:rsidRDefault="00C57B91" w:rsidP="009458E2">
      <w:pPr>
        <w:pStyle w:val="Prrafodelista"/>
        <w:spacing w:before="0" w:after="0"/>
        <w:ind w:left="142" w:right="369"/>
        <w:contextualSpacing w:val="0"/>
        <w:jc w:val="center"/>
        <w:rPr>
          <w:rFonts w:ascii="Arial Narrow" w:hAnsi="Arial Narrow"/>
          <w:b/>
        </w:rPr>
      </w:pPr>
      <w:r>
        <w:rPr>
          <w:rFonts w:ascii="Arial Narrow" w:hAnsi="Arial Narrow"/>
          <w:b/>
        </w:rPr>
        <w:t>Cuadro 2</w:t>
      </w:r>
      <w:r w:rsidRPr="00C57B91">
        <w:rPr>
          <w:rFonts w:ascii="Arial Narrow" w:hAnsi="Arial Narrow"/>
          <w:b/>
        </w:rPr>
        <w:t xml:space="preserve"> – Variación de cada indicador respecto el </w:t>
      </w:r>
      <w:r>
        <w:rPr>
          <w:rFonts w:ascii="Arial Narrow" w:hAnsi="Arial Narrow"/>
          <w:b/>
        </w:rPr>
        <w:t xml:space="preserve">mismo </w:t>
      </w:r>
      <w:r w:rsidRPr="00C57B91">
        <w:rPr>
          <w:rFonts w:ascii="Arial Narrow" w:hAnsi="Arial Narrow"/>
          <w:b/>
        </w:rPr>
        <w:t xml:space="preserve">mes </w:t>
      </w:r>
      <w:r>
        <w:rPr>
          <w:rFonts w:ascii="Arial Narrow" w:hAnsi="Arial Narrow"/>
          <w:b/>
        </w:rPr>
        <w:t xml:space="preserve">del año </w:t>
      </w:r>
      <w:r w:rsidRPr="00C57B91">
        <w:rPr>
          <w:rFonts w:ascii="Arial Narrow" w:hAnsi="Arial Narrow"/>
          <w:b/>
        </w:rPr>
        <w:t>anterior</w:t>
      </w:r>
    </w:p>
    <w:tbl>
      <w:tblPr>
        <w:tblW w:w="11483" w:type="dxa"/>
        <w:tblInd w:w="-923" w:type="dxa"/>
        <w:tblCellMar>
          <w:left w:w="70" w:type="dxa"/>
          <w:right w:w="70" w:type="dxa"/>
        </w:tblCellMar>
        <w:tblLook w:val="04A0" w:firstRow="1" w:lastRow="0" w:firstColumn="1" w:lastColumn="0" w:noHBand="0" w:noVBand="1"/>
      </w:tblPr>
      <w:tblGrid>
        <w:gridCol w:w="3733"/>
        <w:gridCol w:w="693"/>
        <w:gridCol w:w="686"/>
        <w:gridCol w:w="686"/>
        <w:gridCol w:w="685"/>
        <w:gridCol w:w="770"/>
        <w:gridCol w:w="700"/>
        <w:gridCol w:w="708"/>
        <w:gridCol w:w="728"/>
        <w:gridCol w:w="722"/>
        <w:gridCol w:w="686"/>
        <w:gridCol w:w="686"/>
      </w:tblGrid>
      <w:tr w:rsidR="009458E2" w:rsidRPr="009458E2" w:rsidTr="009458E2">
        <w:trPr>
          <w:trHeight w:val="111"/>
        </w:trPr>
        <w:tc>
          <w:tcPr>
            <w:tcW w:w="3733" w:type="dxa"/>
            <w:vMerge w:val="restart"/>
            <w:tcBorders>
              <w:top w:val="single" w:sz="8" w:space="0" w:color="auto"/>
              <w:left w:val="single" w:sz="8" w:space="0" w:color="auto"/>
              <w:bottom w:val="single" w:sz="8" w:space="0" w:color="000000"/>
              <w:right w:val="single" w:sz="8" w:space="0" w:color="000000"/>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b/>
                <w:bCs/>
                <w:i/>
                <w:iCs/>
                <w:color w:val="000000"/>
                <w:sz w:val="18"/>
                <w:szCs w:val="18"/>
                <w:lang w:eastAsia="es-AR"/>
              </w:rPr>
            </w:pPr>
            <w:r w:rsidRPr="009458E2">
              <w:rPr>
                <w:rFonts w:ascii="Arial Narrow" w:eastAsia="Times New Roman" w:hAnsi="Arial Narrow"/>
                <w:b/>
                <w:bCs/>
                <w:i/>
                <w:iCs/>
                <w:color w:val="000000"/>
                <w:sz w:val="18"/>
                <w:szCs w:val="18"/>
                <w:lang w:eastAsia="es-AR"/>
              </w:rPr>
              <w:t>INDICADORES DE LA RECUPERACIÓN ECONOMICA</w:t>
            </w:r>
          </w:p>
        </w:tc>
        <w:tc>
          <w:tcPr>
            <w:tcW w:w="7064" w:type="dxa"/>
            <w:gridSpan w:val="10"/>
            <w:tcBorders>
              <w:top w:val="single" w:sz="8" w:space="0" w:color="auto"/>
              <w:left w:val="nil"/>
              <w:bottom w:val="single" w:sz="8" w:space="0" w:color="auto"/>
              <w:right w:val="single" w:sz="8" w:space="0" w:color="000000"/>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b/>
                <w:bCs/>
                <w:color w:val="000000"/>
                <w:sz w:val="18"/>
                <w:szCs w:val="18"/>
                <w:lang w:eastAsia="es-AR"/>
              </w:rPr>
            </w:pPr>
            <w:r w:rsidRPr="009458E2">
              <w:rPr>
                <w:rFonts w:ascii="Arial Narrow" w:eastAsia="Times New Roman" w:hAnsi="Arial Narrow"/>
                <w:b/>
                <w:bCs/>
                <w:color w:val="000000"/>
                <w:sz w:val="18"/>
                <w:szCs w:val="18"/>
                <w:lang w:eastAsia="es-AR"/>
              </w:rPr>
              <w:t>Variación % mes a mes interanual</w:t>
            </w:r>
          </w:p>
        </w:tc>
        <w:tc>
          <w:tcPr>
            <w:tcW w:w="686" w:type="dxa"/>
            <w:tcBorders>
              <w:top w:val="single" w:sz="8" w:space="0" w:color="auto"/>
              <w:left w:val="nil"/>
              <w:bottom w:val="single" w:sz="8" w:space="0" w:color="auto"/>
              <w:right w:val="nil"/>
            </w:tcBorders>
            <w:shd w:val="clear" w:color="000000" w:fill="F2F2F2"/>
            <w:noWrap/>
            <w:vAlign w:val="center"/>
            <w:hideMark/>
          </w:tcPr>
          <w:p w:rsidR="009458E2" w:rsidRPr="009458E2" w:rsidRDefault="009458E2" w:rsidP="009458E2">
            <w:pPr>
              <w:spacing w:before="0" w:after="0"/>
              <w:jc w:val="left"/>
              <w:rPr>
                <w:rFonts w:ascii="Arial Narrow" w:eastAsia="Times New Roman" w:hAnsi="Arial Narrow"/>
                <w:b/>
                <w:bCs/>
                <w:color w:val="000000"/>
                <w:sz w:val="20"/>
                <w:szCs w:val="20"/>
                <w:lang w:eastAsia="es-AR"/>
              </w:rPr>
            </w:pPr>
            <w:r w:rsidRPr="009458E2">
              <w:rPr>
                <w:rFonts w:ascii="Arial Narrow" w:eastAsia="Times New Roman" w:hAnsi="Arial Narrow"/>
                <w:b/>
                <w:bCs/>
                <w:color w:val="000000"/>
                <w:sz w:val="20"/>
                <w:szCs w:val="20"/>
                <w:lang w:eastAsia="es-AR"/>
              </w:rPr>
              <w:t> </w:t>
            </w:r>
          </w:p>
        </w:tc>
      </w:tr>
      <w:tr w:rsidR="009458E2" w:rsidRPr="009458E2" w:rsidTr="009458E2">
        <w:trPr>
          <w:trHeight w:val="48"/>
        </w:trPr>
        <w:tc>
          <w:tcPr>
            <w:tcW w:w="3733" w:type="dxa"/>
            <w:vMerge/>
            <w:tcBorders>
              <w:top w:val="single" w:sz="8" w:space="0" w:color="auto"/>
              <w:left w:val="single" w:sz="8" w:space="0" w:color="auto"/>
              <w:bottom w:val="single" w:sz="8" w:space="0" w:color="000000"/>
              <w:right w:val="single" w:sz="8" w:space="0" w:color="000000"/>
            </w:tcBorders>
            <w:vAlign w:val="center"/>
            <w:hideMark/>
          </w:tcPr>
          <w:p w:rsidR="009458E2" w:rsidRPr="009458E2" w:rsidRDefault="009458E2" w:rsidP="009458E2">
            <w:pPr>
              <w:spacing w:before="0" w:after="0"/>
              <w:jc w:val="left"/>
              <w:rPr>
                <w:rFonts w:ascii="Arial Narrow" w:eastAsia="Times New Roman" w:hAnsi="Arial Narrow"/>
                <w:b/>
                <w:bCs/>
                <w:i/>
                <w:iCs/>
                <w:color w:val="000000"/>
                <w:sz w:val="18"/>
                <w:szCs w:val="18"/>
                <w:lang w:eastAsia="es-AR"/>
              </w:rPr>
            </w:pPr>
          </w:p>
        </w:tc>
        <w:tc>
          <w:tcPr>
            <w:tcW w:w="693" w:type="dxa"/>
            <w:tcBorders>
              <w:top w:val="nil"/>
              <w:left w:val="single" w:sz="4" w:space="0" w:color="auto"/>
              <w:bottom w:val="nil"/>
              <w:right w:val="single" w:sz="4"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nov-23</w:t>
            </w:r>
          </w:p>
        </w:tc>
        <w:tc>
          <w:tcPr>
            <w:tcW w:w="686" w:type="dxa"/>
            <w:tcBorders>
              <w:top w:val="nil"/>
              <w:left w:val="nil"/>
              <w:bottom w:val="nil"/>
              <w:right w:val="single" w:sz="4"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dic-23</w:t>
            </w:r>
          </w:p>
        </w:tc>
        <w:tc>
          <w:tcPr>
            <w:tcW w:w="686" w:type="dxa"/>
            <w:tcBorders>
              <w:top w:val="nil"/>
              <w:left w:val="nil"/>
              <w:bottom w:val="nil"/>
              <w:right w:val="single" w:sz="4"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ene-24</w:t>
            </w:r>
          </w:p>
        </w:tc>
        <w:tc>
          <w:tcPr>
            <w:tcW w:w="685" w:type="dxa"/>
            <w:tcBorders>
              <w:top w:val="nil"/>
              <w:left w:val="nil"/>
              <w:bottom w:val="nil"/>
              <w:right w:val="single" w:sz="4"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feb-24</w:t>
            </w:r>
          </w:p>
        </w:tc>
        <w:tc>
          <w:tcPr>
            <w:tcW w:w="770" w:type="dxa"/>
            <w:tcBorders>
              <w:top w:val="nil"/>
              <w:left w:val="nil"/>
              <w:bottom w:val="nil"/>
              <w:right w:val="single" w:sz="4"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mar-24</w:t>
            </w:r>
          </w:p>
        </w:tc>
        <w:tc>
          <w:tcPr>
            <w:tcW w:w="700" w:type="dxa"/>
            <w:tcBorders>
              <w:top w:val="nil"/>
              <w:left w:val="nil"/>
              <w:bottom w:val="nil"/>
              <w:right w:val="single" w:sz="4"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abr-24</w:t>
            </w:r>
          </w:p>
        </w:tc>
        <w:tc>
          <w:tcPr>
            <w:tcW w:w="708" w:type="dxa"/>
            <w:tcBorders>
              <w:top w:val="nil"/>
              <w:left w:val="nil"/>
              <w:bottom w:val="nil"/>
              <w:right w:val="single" w:sz="4"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may-24</w:t>
            </w:r>
          </w:p>
        </w:tc>
        <w:tc>
          <w:tcPr>
            <w:tcW w:w="728" w:type="dxa"/>
            <w:tcBorders>
              <w:top w:val="nil"/>
              <w:left w:val="nil"/>
              <w:bottom w:val="nil"/>
              <w:right w:val="single" w:sz="4"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jun-24</w:t>
            </w:r>
          </w:p>
        </w:tc>
        <w:tc>
          <w:tcPr>
            <w:tcW w:w="722" w:type="dxa"/>
            <w:tcBorders>
              <w:top w:val="nil"/>
              <w:left w:val="nil"/>
              <w:bottom w:val="nil"/>
              <w:right w:val="nil"/>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jul-24</w:t>
            </w:r>
          </w:p>
        </w:tc>
        <w:tc>
          <w:tcPr>
            <w:tcW w:w="686" w:type="dxa"/>
            <w:tcBorders>
              <w:top w:val="nil"/>
              <w:left w:val="single" w:sz="4" w:space="0" w:color="auto"/>
              <w:bottom w:val="nil"/>
              <w:right w:val="nil"/>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8"/>
                <w:szCs w:val="18"/>
                <w:lang w:eastAsia="es-AR"/>
              </w:rPr>
            </w:pPr>
            <w:r w:rsidRPr="009458E2">
              <w:rPr>
                <w:rFonts w:ascii="Arial Narrow" w:eastAsia="Times New Roman" w:hAnsi="Arial Narrow" w:cs="Calibri"/>
                <w:b/>
                <w:bCs/>
                <w:color w:val="000000"/>
                <w:sz w:val="18"/>
                <w:szCs w:val="18"/>
                <w:lang w:eastAsia="es-AR"/>
              </w:rPr>
              <w:t>ago-24</w:t>
            </w:r>
          </w:p>
        </w:tc>
        <w:tc>
          <w:tcPr>
            <w:tcW w:w="686" w:type="dxa"/>
            <w:tcBorders>
              <w:top w:val="nil"/>
              <w:left w:val="single" w:sz="8" w:space="0" w:color="auto"/>
              <w:bottom w:val="nil"/>
              <w:right w:val="single" w:sz="8" w:space="0" w:color="auto"/>
            </w:tcBorders>
            <w:shd w:val="clear" w:color="000000" w:fill="F2F2F2"/>
            <w:noWrap/>
            <w:vAlign w:val="center"/>
            <w:hideMark/>
          </w:tcPr>
          <w:p w:rsidR="009458E2" w:rsidRPr="009458E2" w:rsidRDefault="009458E2" w:rsidP="009458E2">
            <w:pPr>
              <w:spacing w:before="0" w:after="0"/>
              <w:jc w:val="center"/>
              <w:rPr>
                <w:rFonts w:ascii="Arial Narrow" w:eastAsia="Times New Roman" w:hAnsi="Arial Narrow" w:cs="Calibri"/>
                <w:b/>
                <w:bCs/>
                <w:color w:val="000000"/>
                <w:sz w:val="16"/>
                <w:szCs w:val="16"/>
                <w:lang w:eastAsia="es-AR"/>
              </w:rPr>
            </w:pPr>
            <w:r w:rsidRPr="009458E2">
              <w:rPr>
                <w:rFonts w:ascii="Arial Narrow" w:eastAsia="Times New Roman" w:hAnsi="Arial Narrow" w:cs="Calibri"/>
                <w:b/>
                <w:bCs/>
                <w:color w:val="000000"/>
                <w:sz w:val="16"/>
                <w:szCs w:val="16"/>
                <w:lang w:eastAsia="es-AR"/>
              </w:rPr>
              <w:t>Var% vs Nov 23</w:t>
            </w:r>
          </w:p>
        </w:tc>
      </w:tr>
      <w:tr w:rsidR="009458E2" w:rsidRPr="009458E2" w:rsidTr="009458E2">
        <w:trPr>
          <w:trHeight w:val="48"/>
        </w:trPr>
        <w:tc>
          <w:tcPr>
            <w:tcW w:w="373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s="Calibri"/>
                <w:color w:val="000000"/>
                <w:sz w:val="20"/>
                <w:szCs w:val="20"/>
                <w:lang w:eastAsia="es-AR"/>
              </w:rPr>
            </w:pPr>
            <w:r w:rsidRPr="009458E2">
              <w:rPr>
                <w:rFonts w:ascii="Arial Narrow" w:eastAsia="Times New Roman" w:hAnsi="Arial Narrow" w:cs="Calibri"/>
                <w:color w:val="000000"/>
                <w:sz w:val="20"/>
                <w:szCs w:val="20"/>
                <w:lang w:eastAsia="es-AR"/>
              </w:rPr>
              <w:t xml:space="preserve">1 </w:t>
            </w:r>
            <w:r w:rsidRPr="009458E2">
              <w:rPr>
                <w:rFonts w:ascii="Arial Narrow" w:eastAsia="Times New Roman" w:hAnsi="Arial Narrow" w:cs="Calibri"/>
                <w:bCs/>
                <w:color w:val="000000"/>
                <w:sz w:val="20"/>
                <w:szCs w:val="20"/>
                <w:lang w:eastAsia="es-AR"/>
              </w:rPr>
              <w:t>Estimado Mensual Actividad Económica</w:t>
            </w:r>
            <w:r w:rsidRPr="009458E2">
              <w:rPr>
                <w:rFonts w:ascii="Arial Narrow" w:eastAsia="Times New Roman" w:hAnsi="Arial Narrow" w:cs="Calibri"/>
                <w:color w:val="000000"/>
                <w:sz w:val="20"/>
                <w:szCs w:val="20"/>
                <w:lang w:eastAsia="es-AR"/>
              </w:rPr>
              <w:t xml:space="preserve"> EMAE </w:t>
            </w:r>
          </w:p>
        </w:tc>
        <w:tc>
          <w:tcPr>
            <w:tcW w:w="693" w:type="dxa"/>
            <w:tcBorders>
              <w:top w:val="single" w:sz="8" w:space="0" w:color="auto"/>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-0,7%</w:t>
            </w:r>
          </w:p>
        </w:tc>
        <w:tc>
          <w:tcPr>
            <w:tcW w:w="686" w:type="dxa"/>
            <w:tcBorders>
              <w:top w:val="single" w:sz="8" w:space="0" w:color="auto"/>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-4,2%</w:t>
            </w:r>
          </w:p>
        </w:tc>
        <w:tc>
          <w:tcPr>
            <w:tcW w:w="686" w:type="dxa"/>
            <w:tcBorders>
              <w:top w:val="single" w:sz="8" w:space="0" w:color="auto"/>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-4,0%</w:t>
            </w:r>
          </w:p>
        </w:tc>
        <w:tc>
          <w:tcPr>
            <w:tcW w:w="685" w:type="dxa"/>
            <w:tcBorders>
              <w:top w:val="single" w:sz="8" w:space="0" w:color="auto"/>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-2,8%</w:t>
            </w:r>
          </w:p>
        </w:tc>
        <w:tc>
          <w:tcPr>
            <w:tcW w:w="770" w:type="dxa"/>
            <w:tcBorders>
              <w:top w:val="single" w:sz="8" w:space="0" w:color="auto"/>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-8,4%</w:t>
            </w:r>
          </w:p>
        </w:tc>
        <w:tc>
          <w:tcPr>
            <w:tcW w:w="700" w:type="dxa"/>
            <w:tcBorders>
              <w:top w:val="single" w:sz="8" w:space="0" w:color="auto"/>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-2,3%</w:t>
            </w:r>
          </w:p>
        </w:tc>
        <w:tc>
          <w:tcPr>
            <w:tcW w:w="708" w:type="dxa"/>
            <w:tcBorders>
              <w:top w:val="single" w:sz="8" w:space="0" w:color="auto"/>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1,4%</w:t>
            </w:r>
          </w:p>
        </w:tc>
        <w:tc>
          <w:tcPr>
            <w:tcW w:w="728" w:type="dxa"/>
            <w:tcBorders>
              <w:top w:val="single" w:sz="8" w:space="0" w:color="auto"/>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-4,0%</w:t>
            </w:r>
          </w:p>
        </w:tc>
        <w:tc>
          <w:tcPr>
            <w:tcW w:w="722" w:type="dxa"/>
            <w:tcBorders>
              <w:top w:val="single" w:sz="8" w:space="0" w:color="auto"/>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-1,3%</w:t>
            </w:r>
          </w:p>
        </w:tc>
        <w:tc>
          <w:tcPr>
            <w:tcW w:w="686" w:type="dxa"/>
            <w:tcBorders>
              <w:top w:val="single" w:sz="8" w:space="0" w:color="auto"/>
              <w:left w:val="nil"/>
              <w:bottom w:val="single" w:sz="4" w:space="0" w:color="auto"/>
              <w:right w:val="nil"/>
            </w:tcBorders>
            <w:shd w:val="clear" w:color="auto" w:fill="auto"/>
            <w:noWrap/>
            <w:vAlign w:val="bottom"/>
            <w:hideMark/>
          </w:tcPr>
          <w:p w:rsidR="009458E2" w:rsidRPr="009458E2" w:rsidRDefault="009458E2" w:rsidP="009458E2">
            <w:pPr>
              <w:spacing w:before="0" w:after="0"/>
              <w:ind w:left="-117"/>
              <w:jc w:val="left"/>
              <w:rPr>
                <w:rFonts w:ascii="Arial Narrow" w:eastAsia="Times New Roman" w:hAnsi="Arial Narrow" w:cs="Calibri"/>
                <w:color w:val="000000"/>
                <w:sz w:val="20"/>
                <w:szCs w:val="20"/>
                <w:lang w:eastAsia="es-AR"/>
              </w:rPr>
            </w:pPr>
            <w:r w:rsidRPr="009458E2">
              <w:rPr>
                <w:rFonts w:ascii="Arial Narrow" w:eastAsia="Times New Roman" w:hAnsi="Arial Narrow" w:cs="Calibri"/>
                <w:color w:val="000000"/>
                <w:sz w:val="20"/>
                <w:szCs w:val="20"/>
                <w:lang w:eastAsia="es-AR"/>
              </w:rPr>
              <w:t> </w:t>
            </w:r>
          </w:p>
        </w:tc>
        <w:tc>
          <w:tcPr>
            <w:tcW w:w="686"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1,1%</w:t>
            </w:r>
          </w:p>
        </w:tc>
      </w:tr>
      <w:tr w:rsidR="009458E2" w:rsidRPr="009458E2" w:rsidTr="009458E2">
        <w:trPr>
          <w:trHeight w:val="58"/>
        </w:trPr>
        <w:tc>
          <w:tcPr>
            <w:tcW w:w="3733" w:type="dxa"/>
            <w:tcBorders>
              <w:top w:val="single" w:sz="4" w:space="0" w:color="auto"/>
              <w:left w:val="single" w:sz="8" w:space="0" w:color="auto"/>
              <w:bottom w:val="single" w:sz="4" w:space="0" w:color="auto"/>
              <w:right w:val="nil"/>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sidRPr="009458E2">
              <w:rPr>
                <w:rFonts w:ascii="Arial Narrow" w:eastAsia="Times New Roman" w:hAnsi="Arial Narrow"/>
                <w:color w:val="000000"/>
                <w:sz w:val="20"/>
                <w:szCs w:val="20"/>
                <w:lang w:eastAsia="es-AR"/>
              </w:rPr>
              <w:t xml:space="preserve">2 Índice </w:t>
            </w:r>
            <w:r w:rsidR="00A216C8" w:rsidRPr="009458E2">
              <w:rPr>
                <w:rFonts w:ascii="Arial Narrow" w:eastAsia="Times New Roman" w:hAnsi="Arial Narrow"/>
                <w:color w:val="000000"/>
                <w:sz w:val="20"/>
                <w:szCs w:val="20"/>
                <w:lang w:eastAsia="es-AR"/>
              </w:rPr>
              <w:t>Líder</w:t>
            </w:r>
            <w:r w:rsidRPr="009458E2">
              <w:rPr>
                <w:rFonts w:ascii="Arial Narrow" w:eastAsia="Times New Roman" w:hAnsi="Arial Narrow"/>
                <w:color w:val="000000"/>
                <w:sz w:val="20"/>
                <w:szCs w:val="20"/>
                <w:lang w:eastAsia="es-AR"/>
              </w:rPr>
              <w:t xml:space="preserve"> UTDT 2019=100</w:t>
            </w:r>
          </w:p>
        </w:tc>
        <w:tc>
          <w:tcPr>
            <w:tcW w:w="693" w:type="dxa"/>
            <w:tcBorders>
              <w:top w:val="nil"/>
              <w:left w:val="single" w:sz="8" w:space="0" w:color="auto"/>
              <w:bottom w:val="single" w:sz="4" w:space="0" w:color="auto"/>
              <w:right w:val="single" w:sz="4"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1,5%</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-6,0%</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-8,7%</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-16,2%</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-19,2%</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-16,1%</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-11,0%</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-17,0%</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-12,9%</w:t>
            </w:r>
          </w:p>
        </w:tc>
        <w:tc>
          <w:tcPr>
            <w:tcW w:w="686" w:type="dxa"/>
            <w:tcBorders>
              <w:top w:val="nil"/>
              <w:left w:val="nil"/>
              <w:bottom w:val="single" w:sz="4" w:space="0" w:color="auto"/>
              <w:right w:val="nil"/>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-14,7%</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-10,7%</w:t>
            </w:r>
          </w:p>
        </w:tc>
      </w:tr>
      <w:tr w:rsidR="009458E2" w:rsidRPr="009458E2" w:rsidTr="009458E2">
        <w:trPr>
          <w:trHeight w:val="58"/>
        </w:trPr>
        <w:tc>
          <w:tcPr>
            <w:tcW w:w="3733" w:type="dxa"/>
            <w:tcBorders>
              <w:top w:val="single" w:sz="4" w:space="0" w:color="auto"/>
              <w:left w:val="single" w:sz="8" w:space="0" w:color="auto"/>
              <w:bottom w:val="single" w:sz="4" w:space="0" w:color="auto"/>
              <w:right w:val="nil"/>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sidRPr="009458E2">
              <w:rPr>
                <w:rFonts w:ascii="Arial Narrow" w:eastAsia="Times New Roman" w:hAnsi="Arial Narrow"/>
                <w:color w:val="000000"/>
                <w:sz w:val="20"/>
                <w:szCs w:val="20"/>
                <w:lang w:eastAsia="es-AR"/>
              </w:rPr>
              <w:t xml:space="preserve">3 Índice de </w:t>
            </w:r>
            <w:proofErr w:type="spellStart"/>
            <w:r w:rsidRPr="009458E2">
              <w:rPr>
                <w:rFonts w:ascii="Arial Narrow" w:eastAsia="Times New Roman" w:hAnsi="Arial Narrow"/>
                <w:color w:val="000000"/>
                <w:sz w:val="20"/>
                <w:szCs w:val="20"/>
                <w:lang w:eastAsia="es-AR"/>
              </w:rPr>
              <w:t>Prod</w:t>
            </w:r>
            <w:proofErr w:type="spellEnd"/>
            <w:r w:rsidRPr="009458E2">
              <w:rPr>
                <w:rFonts w:ascii="Arial Narrow" w:eastAsia="Times New Roman" w:hAnsi="Arial Narrow"/>
                <w:color w:val="000000"/>
                <w:sz w:val="20"/>
                <w:szCs w:val="20"/>
                <w:lang w:eastAsia="es-AR"/>
              </w:rPr>
              <w:t xml:space="preserve"> Industrial IPI INDEC 2014=100</w:t>
            </w:r>
          </w:p>
        </w:tc>
        <w:tc>
          <w:tcPr>
            <w:tcW w:w="693" w:type="dxa"/>
            <w:tcBorders>
              <w:top w:val="nil"/>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-4,8%</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-12,8%</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-12,3%</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-9,7%</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-21,4%</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-16,6%</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-15,0%</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-20,2%</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-5,4%</w:t>
            </w:r>
          </w:p>
        </w:tc>
        <w:tc>
          <w:tcPr>
            <w:tcW w:w="686" w:type="dxa"/>
            <w:tcBorders>
              <w:top w:val="nil"/>
              <w:left w:val="nil"/>
              <w:bottom w:val="single" w:sz="4" w:space="0" w:color="auto"/>
              <w:right w:val="nil"/>
            </w:tcBorders>
            <w:shd w:val="clear" w:color="auto" w:fill="auto"/>
            <w:noWrap/>
            <w:vAlign w:val="bottom"/>
            <w:hideMark/>
          </w:tcPr>
          <w:p w:rsidR="009458E2" w:rsidRPr="009458E2" w:rsidRDefault="009458E2" w:rsidP="009458E2">
            <w:pPr>
              <w:spacing w:before="0" w:after="0"/>
              <w:ind w:left="-117"/>
              <w:jc w:val="left"/>
              <w:rPr>
                <w:rFonts w:ascii="Arial Narrow" w:eastAsia="Times New Roman" w:hAnsi="Arial Narrow" w:cs="Calibri"/>
                <w:color w:val="000000"/>
                <w:sz w:val="20"/>
                <w:szCs w:val="20"/>
                <w:lang w:eastAsia="es-AR"/>
              </w:rPr>
            </w:pPr>
            <w:r w:rsidRPr="009458E2">
              <w:rPr>
                <w:rFonts w:ascii="Arial Narrow" w:eastAsia="Times New Roman" w:hAnsi="Arial Narrow" w:cs="Calibri"/>
                <w:color w:val="000000"/>
                <w:sz w:val="20"/>
                <w:szCs w:val="20"/>
                <w:lang w:eastAsia="es-AR"/>
              </w:rPr>
              <w:t> </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-2,0%</w:t>
            </w:r>
          </w:p>
        </w:tc>
      </w:tr>
      <w:tr w:rsidR="009458E2" w:rsidRPr="009458E2" w:rsidTr="009458E2">
        <w:trPr>
          <w:trHeight w:val="84"/>
        </w:trPr>
        <w:tc>
          <w:tcPr>
            <w:tcW w:w="3733" w:type="dxa"/>
            <w:tcBorders>
              <w:top w:val="single" w:sz="4" w:space="0" w:color="auto"/>
              <w:left w:val="single" w:sz="8" w:space="0" w:color="auto"/>
              <w:bottom w:val="single" w:sz="4" w:space="0" w:color="auto"/>
              <w:right w:val="nil"/>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sidRPr="009458E2">
              <w:rPr>
                <w:rFonts w:ascii="Arial Narrow" w:eastAsia="Times New Roman" w:hAnsi="Arial Narrow"/>
                <w:color w:val="000000"/>
                <w:sz w:val="20"/>
                <w:szCs w:val="20"/>
                <w:lang w:eastAsia="es-AR"/>
              </w:rPr>
              <w:t xml:space="preserve">4 </w:t>
            </w:r>
            <w:proofErr w:type="spellStart"/>
            <w:r w:rsidRPr="009458E2">
              <w:rPr>
                <w:rFonts w:ascii="Arial Narrow" w:eastAsia="Times New Roman" w:hAnsi="Arial Narrow"/>
                <w:color w:val="000000"/>
                <w:sz w:val="20"/>
                <w:szCs w:val="20"/>
                <w:lang w:eastAsia="es-AR"/>
              </w:rPr>
              <w:t>Utiliz</w:t>
            </w:r>
            <w:proofErr w:type="spellEnd"/>
            <w:r w:rsidRPr="009458E2">
              <w:rPr>
                <w:rFonts w:ascii="Arial Narrow" w:eastAsia="Times New Roman" w:hAnsi="Arial Narrow"/>
                <w:color w:val="000000"/>
                <w:sz w:val="20"/>
                <w:szCs w:val="20"/>
                <w:lang w:eastAsia="es-AR"/>
              </w:rPr>
              <w:t xml:space="preserve"> capacidad instalada en industria %</w:t>
            </w:r>
          </w:p>
        </w:tc>
        <w:tc>
          <w:tcPr>
            <w:tcW w:w="693" w:type="dxa"/>
            <w:tcBorders>
              <w:top w:val="nil"/>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-3,6%</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-13,9%</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-11,9%</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-11,4%</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-20,7%</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-17,9%</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-16,2%</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-20,6%</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-8,2%</w:t>
            </w:r>
          </w:p>
        </w:tc>
        <w:tc>
          <w:tcPr>
            <w:tcW w:w="686" w:type="dxa"/>
            <w:tcBorders>
              <w:top w:val="nil"/>
              <w:left w:val="nil"/>
              <w:bottom w:val="single" w:sz="4" w:space="0" w:color="auto"/>
              <w:right w:val="nil"/>
            </w:tcBorders>
            <w:shd w:val="clear" w:color="auto" w:fill="auto"/>
            <w:noWrap/>
            <w:vAlign w:val="bottom"/>
            <w:hideMark/>
          </w:tcPr>
          <w:p w:rsidR="009458E2" w:rsidRPr="009458E2" w:rsidRDefault="009458E2" w:rsidP="009458E2">
            <w:pPr>
              <w:spacing w:before="0" w:after="0"/>
              <w:ind w:left="-117"/>
              <w:jc w:val="left"/>
              <w:rPr>
                <w:rFonts w:ascii="Arial Narrow" w:eastAsia="Times New Roman" w:hAnsi="Arial Narrow" w:cs="Calibri"/>
                <w:color w:val="000000"/>
                <w:sz w:val="20"/>
                <w:szCs w:val="20"/>
                <w:lang w:eastAsia="es-AR"/>
              </w:rPr>
            </w:pPr>
            <w:r w:rsidRPr="009458E2">
              <w:rPr>
                <w:rFonts w:ascii="Arial Narrow" w:eastAsia="Times New Roman" w:hAnsi="Arial Narrow" w:cs="Calibri"/>
                <w:color w:val="000000"/>
                <w:sz w:val="20"/>
                <w:szCs w:val="20"/>
                <w:lang w:eastAsia="es-AR"/>
              </w:rPr>
              <w:t> </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-10,1%</w:t>
            </w:r>
          </w:p>
        </w:tc>
      </w:tr>
      <w:tr w:rsidR="009458E2" w:rsidRPr="009458E2" w:rsidTr="009458E2">
        <w:trPr>
          <w:trHeight w:val="58"/>
        </w:trPr>
        <w:tc>
          <w:tcPr>
            <w:tcW w:w="3733"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sidRPr="009458E2">
              <w:rPr>
                <w:rFonts w:ascii="Arial Narrow" w:eastAsia="Times New Roman" w:hAnsi="Arial Narrow"/>
                <w:color w:val="000000"/>
                <w:sz w:val="20"/>
                <w:szCs w:val="20"/>
                <w:lang w:eastAsia="es-AR"/>
              </w:rPr>
              <w:t xml:space="preserve">5 </w:t>
            </w:r>
            <w:r w:rsidR="00A216C8" w:rsidRPr="009458E2">
              <w:rPr>
                <w:rFonts w:ascii="Arial Narrow" w:eastAsia="Times New Roman" w:hAnsi="Arial Narrow"/>
                <w:color w:val="000000"/>
                <w:sz w:val="20"/>
                <w:szCs w:val="20"/>
                <w:lang w:eastAsia="es-AR"/>
              </w:rPr>
              <w:t>Índice</w:t>
            </w:r>
            <w:r w:rsidRPr="009458E2">
              <w:rPr>
                <w:rFonts w:ascii="Arial Narrow" w:eastAsia="Times New Roman" w:hAnsi="Arial Narrow"/>
                <w:color w:val="000000"/>
                <w:sz w:val="20"/>
                <w:szCs w:val="20"/>
                <w:lang w:eastAsia="es-AR"/>
              </w:rPr>
              <w:t xml:space="preserve"> de </w:t>
            </w:r>
            <w:proofErr w:type="spellStart"/>
            <w:r w:rsidRPr="009458E2">
              <w:rPr>
                <w:rFonts w:ascii="Arial Narrow" w:eastAsia="Times New Roman" w:hAnsi="Arial Narrow"/>
                <w:color w:val="000000"/>
                <w:sz w:val="20"/>
                <w:szCs w:val="20"/>
                <w:lang w:eastAsia="es-AR"/>
              </w:rPr>
              <w:t>Prod</w:t>
            </w:r>
            <w:proofErr w:type="spellEnd"/>
            <w:r w:rsidRPr="009458E2">
              <w:rPr>
                <w:rFonts w:ascii="Arial Narrow" w:eastAsia="Times New Roman" w:hAnsi="Arial Narrow"/>
                <w:color w:val="000000"/>
                <w:sz w:val="20"/>
                <w:szCs w:val="20"/>
                <w:lang w:eastAsia="es-AR"/>
              </w:rPr>
              <w:t xml:space="preserve"> Industrial FIEL 1993 = 100</w:t>
            </w:r>
          </w:p>
        </w:tc>
        <w:tc>
          <w:tcPr>
            <w:tcW w:w="693" w:type="dxa"/>
            <w:tcBorders>
              <w:top w:val="nil"/>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-1,9%</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-6,0%</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-6,2%</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-7,5%</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-15,2%</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-14,5%</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-11,1%</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-13,2%</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-3,8%</w:t>
            </w:r>
          </w:p>
        </w:tc>
        <w:tc>
          <w:tcPr>
            <w:tcW w:w="686" w:type="dxa"/>
            <w:tcBorders>
              <w:top w:val="nil"/>
              <w:left w:val="nil"/>
              <w:bottom w:val="single" w:sz="4" w:space="0" w:color="auto"/>
              <w:right w:val="nil"/>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-10,8%</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0,9%</w:t>
            </w:r>
          </w:p>
        </w:tc>
      </w:tr>
      <w:tr w:rsidR="009458E2" w:rsidRPr="009458E2" w:rsidTr="009458E2">
        <w:trPr>
          <w:trHeight w:val="58"/>
        </w:trPr>
        <w:tc>
          <w:tcPr>
            <w:tcW w:w="3733" w:type="dxa"/>
            <w:tcBorders>
              <w:top w:val="single" w:sz="4" w:space="0" w:color="auto"/>
              <w:left w:val="single" w:sz="8" w:space="0" w:color="auto"/>
              <w:bottom w:val="single" w:sz="4" w:space="0" w:color="auto"/>
              <w:right w:val="nil"/>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sidRPr="009458E2">
              <w:rPr>
                <w:rFonts w:ascii="Arial Narrow" w:eastAsia="Times New Roman" w:hAnsi="Arial Narrow"/>
                <w:color w:val="000000"/>
                <w:sz w:val="20"/>
                <w:szCs w:val="20"/>
                <w:lang w:eastAsia="es-AR"/>
              </w:rPr>
              <w:t>6 Actividad Metalúrgica ADIMRA</w:t>
            </w:r>
          </w:p>
        </w:tc>
        <w:tc>
          <w:tcPr>
            <w:tcW w:w="693" w:type="dxa"/>
            <w:tcBorders>
              <w:top w:val="nil"/>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-4,2%</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-7,6%</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-14,0%</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-13,5%</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-17,7%</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-19,5%</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-17,6%</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-17,3%</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-11,7%</w:t>
            </w:r>
          </w:p>
        </w:tc>
        <w:tc>
          <w:tcPr>
            <w:tcW w:w="686" w:type="dxa"/>
            <w:tcBorders>
              <w:top w:val="nil"/>
              <w:left w:val="nil"/>
              <w:bottom w:val="single" w:sz="4" w:space="0" w:color="auto"/>
              <w:right w:val="nil"/>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-10,2%</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-17,7%</w:t>
            </w:r>
          </w:p>
        </w:tc>
      </w:tr>
      <w:tr w:rsidR="009458E2" w:rsidRPr="009458E2" w:rsidTr="009458E2">
        <w:trPr>
          <w:trHeight w:val="58"/>
        </w:trPr>
        <w:tc>
          <w:tcPr>
            <w:tcW w:w="3733" w:type="dxa"/>
            <w:tcBorders>
              <w:top w:val="single" w:sz="4" w:space="0" w:color="auto"/>
              <w:left w:val="single" w:sz="8" w:space="0" w:color="auto"/>
              <w:bottom w:val="single" w:sz="8" w:space="0" w:color="auto"/>
              <w:right w:val="nil"/>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Pr>
                <w:rFonts w:ascii="Arial Narrow" w:eastAsia="Times New Roman" w:hAnsi="Arial Narrow"/>
                <w:color w:val="000000"/>
                <w:sz w:val="20"/>
                <w:szCs w:val="20"/>
                <w:lang w:eastAsia="es-AR"/>
              </w:rPr>
              <w:t xml:space="preserve">7 </w:t>
            </w:r>
            <w:r w:rsidRPr="009458E2">
              <w:rPr>
                <w:rFonts w:ascii="Arial Narrow" w:eastAsia="Times New Roman" w:hAnsi="Arial Narrow"/>
                <w:color w:val="000000"/>
                <w:sz w:val="20"/>
                <w:szCs w:val="20"/>
                <w:lang w:eastAsia="es-AR"/>
              </w:rPr>
              <w:t xml:space="preserve">Producción de acero crudo </w:t>
            </w:r>
            <w:proofErr w:type="spellStart"/>
            <w:r w:rsidRPr="009458E2">
              <w:rPr>
                <w:rFonts w:ascii="Arial Narrow" w:eastAsia="Times New Roman" w:hAnsi="Arial Narrow"/>
                <w:color w:val="000000"/>
                <w:sz w:val="20"/>
                <w:szCs w:val="20"/>
                <w:lang w:eastAsia="es-AR"/>
              </w:rPr>
              <w:t>Mls</w:t>
            </w:r>
            <w:proofErr w:type="spellEnd"/>
            <w:r w:rsidRPr="009458E2">
              <w:rPr>
                <w:rFonts w:ascii="Arial Narrow" w:eastAsia="Times New Roman" w:hAnsi="Arial Narrow"/>
                <w:color w:val="000000"/>
                <w:sz w:val="20"/>
                <w:szCs w:val="20"/>
                <w:lang w:eastAsia="es-AR"/>
              </w:rPr>
              <w:t xml:space="preserve"> TN</w:t>
            </w:r>
          </w:p>
        </w:tc>
        <w:tc>
          <w:tcPr>
            <w:tcW w:w="693" w:type="dxa"/>
            <w:tcBorders>
              <w:top w:val="nil"/>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-10,0%</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-24,2%</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-7,7%</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-9,6%</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-41,5%</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-26,3%</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-29,4%</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-35,0%</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-9,2%</w:t>
            </w:r>
          </w:p>
        </w:tc>
        <w:tc>
          <w:tcPr>
            <w:tcW w:w="686" w:type="dxa"/>
            <w:tcBorders>
              <w:top w:val="nil"/>
              <w:left w:val="nil"/>
              <w:bottom w:val="single" w:sz="4" w:space="0" w:color="auto"/>
              <w:right w:val="nil"/>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-17,8%</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-16,1%</w:t>
            </w:r>
          </w:p>
        </w:tc>
      </w:tr>
      <w:tr w:rsidR="009458E2" w:rsidRPr="009458E2" w:rsidTr="009458E2">
        <w:trPr>
          <w:trHeight w:val="48"/>
        </w:trPr>
        <w:tc>
          <w:tcPr>
            <w:tcW w:w="373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Pr>
                <w:rFonts w:ascii="Arial Narrow" w:eastAsia="Times New Roman" w:hAnsi="Arial Narrow"/>
                <w:color w:val="000000"/>
                <w:sz w:val="20"/>
                <w:szCs w:val="20"/>
                <w:lang w:eastAsia="es-AR"/>
              </w:rPr>
              <w:t xml:space="preserve">8 </w:t>
            </w:r>
            <w:r w:rsidRPr="009458E2">
              <w:rPr>
                <w:rFonts w:ascii="Arial Narrow" w:eastAsia="Times New Roman" w:hAnsi="Arial Narrow"/>
                <w:color w:val="000000"/>
                <w:sz w:val="20"/>
                <w:szCs w:val="20"/>
                <w:lang w:eastAsia="es-AR"/>
              </w:rPr>
              <w:t>Despachos de cemento (</w:t>
            </w:r>
            <w:proofErr w:type="spellStart"/>
            <w:r w:rsidRPr="009458E2">
              <w:rPr>
                <w:rFonts w:ascii="Arial Narrow" w:eastAsia="Times New Roman" w:hAnsi="Arial Narrow"/>
                <w:color w:val="000000"/>
                <w:sz w:val="20"/>
                <w:szCs w:val="20"/>
                <w:lang w:eastAsia="es-AR"/>
              </w:rPr>
              <w:t>Merc</w:t>
            </w:r>
            <w:proofErr w:type="spellEnd"/>
            <w:r w:rsidRPr="009458E2">
              <w:rPr>
                <w:rFonts w:ascii="Arial Narrow" w:eastAsia="Times New Roman" w:hAnsi="Arial Narrow"/>
                <w:color w:val="000000"/>
                <w:sz w:val="20"/>
                <w:szCs w:val="20"/>
                <w:lang w:eastAsia="es-AR"/>
              </w:rPr>
              <w:t xml:space="preserve"> </w:t>
            </w:r>
            <w:proofErr w:type="spellStart"/>
            <w:r w:rsidRPr="009458E2">
              <w:rPr>
                <w:rFonts w:ascii="Arial Narrow" w:eastAsia="Times New Roman" w:hAnsi="Arial Narrow"/>
                <w:color w:val="000000"/>
                <w:sz w:val="20"/>
                <w:szCs w:val="20"/>
                <w:lang w:eastAsia="es-AR"/>
              </w:rPr>
              <w:t>Int</w:t>
            </w:r>
            <w:proofErr w:type="spellEnd"/>
            <w:r w:rsidRPr="009458E2">
              <w:rPr>
                <w:rFonts w:ascii="Arial Narrow" w:eastAsia="Times New Roman" w:hAnsi="Arial Narrow"/>
                <w:color w:val="000000"/>
                <w:sz w:val="20"/>
                <w:szCs w:val="20"/>
                <w:lang w:eastAsia="es-AR"/>
              </w:rPr>
              <w:t xml:space="preserve">) </w:t>
            </w:r>
            <w:proofErr w:type="spellStart"/>
            <w:r w:rsidRPr="009458E2">
              <w:rPr>
                <w:rFonts w:ascii="Arial Narrow" w:eastAsia="Times New Roman" w:hAnsi="Arial Narrow"/>
                <w:color w:val="000000"/>
                <w:sz w:val="20"/>
                <w:szCs w:val="20"/>
                <w:lang w:eastAsia="es-AR"/>
              </w:rPr>
              <w:t>Mls</w:t>
            </w:r>
            <w:proofErr w:type="spellEnd"/>
            <w:r w:rsidRPr="009458E2">
              <w:rPr>
                <w:rFonts w:ascii="Arial Narrow" w:eastAsia="Times New Roman" w:hAnsi="Arial Narrow"/>
                <w:color w:val="000000"/>
                <w:sz w:val="20"/>
                <w:szCs w:val="20"/>
                <w:lang w:eastAsia="es-AR"/>
              </w:rPr>
              <w:t xml:space="preserve"> TN</w:t>
            </w:r>
          </w:p>
        </w:tc>
        <w:tc>
          <w:tcPr>
            <w:tcW w:w="693" w:type="dxa"/>
            <w:tcBorders>
              <w:top w:val="nil"/>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-11,0%</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-13,3%</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-20,1%</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-23,9%</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-43,1%</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-36,3%</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-27,2%</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-32,8%</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-14,5%</w:t>
            </w:r>
          </w:p>
        </w:tc>
        <w:tc>
          <w:tcPr>
            <w:tcW w:w="686" w:type="dxa"/>
            <w:tcBorders>
              <w:top w:val="nil"/>
              <w:left w:val="nil"/>
              <w:bottom w:val="single" w:sz="4" w:space="0" w:color="auto"/>
              <w:right w:val="nil"/>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-26,4%</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-12,7%</w:t>
            </w:r>
          </w:p>
        </w:tc>
      </w:tr>
      <w:tr w:rsidR="009458E2" w:rsidRPr="009458E2" w:rsidTr="009458E2">
        <w:trPr>
          <w:trHeight w:val="58"/>
        </w:trPr>
        <w:tc>
          <w:tcPr>
            <w:tcW w:w="3733" w:type="dxa"/>
            <w:tcBorders>
              <w:top w:val="single" w:sz="4" w:space="0" w:color="auto"/>
              <w:left w:val="single" w:sz="8" w:space="0" w:color="auto"/>
              <w:bottom w:val="single" w:sz="4" w:space="0" w:color="auto"/>
              <w:right w:val="nil"/>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Pr>
                <w:rFonts w:ascii="Arial Narrow" w:eastAsia="Times New Roman" w:hAnsi="Arial Narrow"/>
                <w:color w:val="000000"/>
                <w:sz w:val="20"/>
                <w:szCs w:val="20"/>
                <w:lang w:eastAsia="es-AR"/>
              </w:rPr>
              <w:t xml:space="preserve">9 </w:t>
            </w:r>
            <w:r w:rsidRPr="009458E2">
              <w:rPr>
                <w:rFonts w:ascii="Arial Narrow" w:eastAsia="Times New Roman" w:hAnsi="Arial Narrow"/>
                <w:color w:val="000000"/>
                <w:sz w:val="20"/>
                <w:szCs w:val="20"/>
                <w:lang w:eastAsia="es-AR"/>
              </w:rPr>
              <w:t>Índice Construya</w:t>
            </w:r>
          </w:p>
        </w:tc>
        <w:tc>
          <w:tcPr>
            <w:tcW w:w="693" w:type="dxa"/>
            <w:tcBorders>
              <w:top w:val="nil"/>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-4,7%</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-17,4%</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-35,2%</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-25,6%</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-40,0%</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-33,2%</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-29,8%</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-32,0%</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-16,5%</w:t>
            </w:r>
          </w:p>
        </w:tc>
        <w:tc>
          <w:tcPr>
            <w:tcW w:w="686" w:type="dxa"/>
            <w:tcBorders>
              <w:top w:val="nil"/>
              <w:left w:val="nil"/>
              <w:bottom w:val="single" w:sz="4" w:space="0" w:color="auto"/>
              <w:right w:val="nil"/>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-20,1%</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-13,5%</w:t>
            </w:r>
          </w:p>
        </w:tc>
      </w:tr>
      <w:tr w:rsidR="009458E2" w:rsidRPr="009458E2" w:rsidTr="009458E2">
        <w:trPr>
          <w:trHeight w:val="58"/>
        </w:trPr>
        <w:tc>
          <w:tcPr>
            <w:tcW w:w="3733"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s="Calibri"/>
                <w:color w:val="000000"/>
                <w:sz w:val="20"/>
                <w:szCs w:val="20"/>
                <w:lang w:eastAsia="es-AR"/>
              </w:rPr>
            </w:pPr>
            <w:r w:rsidRPr="009458E2">
              <w:rPr>
                <w:rFonts w:ascii="Arial Narrow" w:eastAsia="Times New Roman" w:hAnsi="Arial Narrow"/>
                <w:color w:val="000000"/>
                <w:sz w:val="20"/>
                <w:szCs w:val="20"/>
                <w:lang w:eastAsia="es-AR"/>
              </w:rPr>
              <w:t>10 Patentamiento de Autos Unidades</w:t>
            </w:r>
          </w:p>
        </w:tc>
        <w:tc>
          <w:tcPr>
            <w:tcW w:w="693" w:type="dxa"/>
            <w:tcBorders>
              <w:top w:val="nil"/>
              <w:left w:val="single" w:sz="8" w:space="0" w:color="auto"/>
              <w:bottom w:val="single" w:sz="4" w:space="0" w:color="auto"/>
              <w:right w:val="single" w:sz="4"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10,8%</w:t>
            </w:r>
          </w:p>
        </w:tc>
        <w:tc>
          <w:tcPr>
            <w:tcW w:w="686" w:type="dxa"/>
            <w:tcBorders>
              <w:top w:val="nil"/>
              <w:left w:val="nil"/>
              <w:bottom w:val="single" w:sz="4" w:space="0" w:color="auto"/>
              <w:right w:val="single" w:sz="4"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5,1%</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-33,5%</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-16,1%</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-31,9%</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-2,6%</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-7,7%</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-21,8%</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-4,4%</w:t>
            </w:r>
          </w:p>
        </w:tc>
        <w:tc>
          <w:tcPr>
            <w:tcW w:w="686" w:type="dxa"/>
            <w:tcBorders>
              <w:top w:val="nil"/>
              <w:left w:val="nil"/>
              <w:bottom w:val="single" w:sz="4" w:space="0" w:color="auto"/>
              <w:right w:val="nil"/>
            </w:tcBorders>
            <w:shd w:val="clear" w:color="auto" w:fill="auto"/>
            <w:noWrap/>
            <w:vAlign w:val="bottom"/>
            <w:hideMark/>
          </w:tcPr>
          <w:p w:rsidR="009458E2" w:rsidRPr="009458E2" w:rsidRDefault="009458E2" w:rsidP="009458E2">
            <w:pPr>
              <w:spacing w:before="0" w:after="0"/>
              <w:ind w:left="-117"/>
              <w:jc w:val="left"/>
              <w:rPr>
                <w:rFonts w:ascii="Arial Narrow" w:eastAsia="Times New Roman" w:hAnsi="Arial Narrow" w:cs="Calibri"/>
                <w:color w:val="000000"/>
                <w:sz w:val="20"/>
                <w:szCs w:val="20"/>
                <w:lang w:eastAsia="es-AR"/>
              </w:rPr>
            </w:pPr>
            <w:r w:rsidRPr="009458E2">
              <w:rPr>
                <w:rFonts w:ascii="Arial Narrow" w:eastAsia="Times New Roman" w:hAnsi="Arial Narrow" w:cs="Calibri"/>
                <w:color w:val="000000"/>
                <w:sz w:val="20"/>
                <w:szCs w:val="20"/>
                <w:lang w:eastAsia="es-AR"/>
              </w:rPr>
              <w:t> </w:t>
            </w:r>
          </w:p>
        </w:tc>
        <w:tc>
          <w:tcPr>
            <w:tcW w:w="686" w:type="dxa"/>
            <w:tcBorders>
              <w:top w:val="nil"/>
              <w:left w:val="single" w:sz="8" w:space="0" w:color="auto"/>
              <w:bottom w:val="single" w:sz="4" w:space="0" w:color="auto"/>
              <w:right w:val="single" w:sz="8"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23,9%</w:t>
            </w:r>
          </w:p>
        </w:tc>
      </w:tr>
      <w:tr w:rsidR="009458E2" w:rsidRPr="009458E2" w:rsidTr="009458E2">
        <w:trPr>
          <w:trHeight w:val="58"/>
        </w:trPr>
        <w:tc>
          <w:tcPr>
            <w:tcW w:w="3733" w:type="dxa"/>
            <w:tcBorders>
              <w:top w:val="nil"/>
              <w:left w:val="single" w:sz="8" w:space="0" w:color="auto"/>
              <w:bottom w:val="single" w:sz="4" w:space="0" w:color="auto"/>
              <w:right w:val="single" w:sz="8" w:space="0" w:color="auto"/>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s="Calibri"/>
                <w:color w:val="000000"/>
                <w:sz w:val="20"/>
                <w:szCs w:val="20"/>
                <w:lang w:eastAsia="es-AR"/>
              </w:rPr>
            </w:pPr>
            <w:r w:rsidRPr="009458E2">
              <w:rPr>
                <w:rFonts w:ascii="Arial Narrow" w:eastAsia="Times New Roman" w:hAnsi="Arial Narrow"/>
                <w:color w:val="000000"/>
                <w:sz w:val="20"/>
                <w:szCs w:val="20"/>
                <w:lang w:eastAsia="es-AR"/>
              </w:rPr>
              <w:t xml:space="preserve">11 Patentamiento de </w:t>
            </w:r>
            <w:proofErr w:type="spellStart"/>
            <w:r w:rsidRPr="009458E2">
              <w:rPr>
                <w:rFonts w:ascii="Arial Narrow" w:eastAsia="Times New Roman" w:hAnsi="Arial Narrow"/>
                <w:color w:val="000000"/>
                <w:sz w:val="20"/>
                <w:szCs w:val="20"/>
                <w:lang w:eastAsia="es-AR"/>
              </w:rPr>
              <w:t>Maq</w:t>
            </w:r>
            <w:proofErr w:type="spellEnd"/>
            <w:r w:rsidRPr="009458E2">
              <w:rPr>
                <w:rFonts w:ascii="Arial Narrow" w:eastAsia="Times New Roman" w:hAnsi="Arial Narrow"/>
                <w:color w:val="000000"/>
                <w:sz w:val="20"/>
                <w:szCs w:val="20"/>
                <w:lang w:eastAsia="es-AR"/>
              </w:rPr>
              <w:t xml:space="preserve"> Agrícola Unidades</w:t>
            </w:r>
          </w:p>
        </w:tc>
        <w:tc>
          <w:tcPr>
            <w:tcW w:w="693" w:type="dxa"/>
            <w:tcBorders>
              <w:top w:val="nil"/>
              <w:left w:val="single" w:sz="8" w:space="0" w:color="auto"/>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-4,2%</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-9,3%</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-20,3%</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-40,0%</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-55,7%</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-27,8%</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-22,9%</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-35,9%</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-44,4%</w:t>
            </w:r>
          </w:p>
        </w:tc>
        <w:tc>
          <w:tcPr>
            <w:tcW w:w="686" w:type="dxa"/>
            <w:tcBorders>
              <w:top w:val="nil"/>
              <w:left w:val="nil"/>
              <w:bottom w:val="single" w:sz="4" w:space="0" w:color="auto"/>
              <w:right w:val="nil"/>
            </w:tcBorders>
            <w:shd w:val="clear" w:color="auto" w:fill="auto"/>
            <w:noWrap/>
            <w:vAlign w:val="bottom"/>
            <w:hideMark/>
          </w:tcPr>
          <w:p w:rsidR="009458E2" w:rsidRPr="009458E2" w:rsidRDefault="009458E2" w:rsidP="009458E2">
            <w:pPr>
              <w:spacing w:before="0" w:after="0"/>
              <w:ind w:left="-117"/>
              <w:jc w:val="left"/>
              <w:rPr>
                <w:rFonts w:ascii="Arial Narrow" w:eastAsia="Times New Roman" w:hAnsi="Arial Narrow" w:cs="Calibri"/>
                <w:color w:val="000000"/>
                <w:sz w:val="20"/>
                <w:szCs w:val="20"/>
                <w:lang w:eastAsia="es-AR"/>
              </w:rPr>
            </w:pPr>
            <w:r w:rsidRPr="009458E2">
              <w:rPr>
                <w:rFonts w:ascii="Arial Narrow" w:eastAsia="Times New Roman" w:hAnsi="Arial Narrow" w:cs="Calibri"/>
                <w:color w:val="000000"/>
                <w:sz w:val="20"/>
                <w:szCs w:val="20"/>
                <w:lang w:eastAsia="es-AR"/>
              </w:rPr>
              <w:t> </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-46,9%</w:t>
            </w:r>
          </w:p>
        </w:tc>
      </w:tr>
      <w:tr w:rsidR="009458E2" w:rsidRPr="009458E2" w:rsidTr="009458E2">
        <w:trPr>
          <w:trHeight w:val="58"/>
        </w:trPr>
        <w:tc>
          <w:tcPr>
            <w:tcW w:w="3733" w:type="dxa"/>
            <w:tcBorders>
              <w:top w:val="nil"/>
              <w:left w:val="single" w:sz="8" w:space="0" w:color="auto"/>
              <w:bottom w:val="single" w:sz="4" w:space="0" w:color="auto"/>
              <w:right w:val="single" w:sz="4" w:space="0" w:color="auto"/>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Pr>
                <w:rFonts w:ascii="Arial Narrow" w:eastAsia="Times New Roman" w:hAnsi="Arial Narrow"/>
                <w:color w:val="000000"/>
                <w:sz w:val="20"/>
                <w:szCs w:val="20"/>
                <w:lang w:eastAsia="es-AR"/>
              </w:rPr>
              <w:t>12</w:t>
            </w:r>
            <w:r w:rsidRPr="009458E2">
              <w:rPr>
                <w:rFonts w:ascii="Arial Narrow" w:eastAsia="Times New Roman" w:hAnsi="Arial Narrow"/>
                <w:color w:val="000000"/>
                <w:sz w:val="20"/>
                <w:szCs w:val="20"/>
                <w:lang w:eastAsia="es-AR"/>
              </w:rPr>
              <w:t xml:space="preserve"> Asalariados </w:t>
            </w:r>
            <w:proofErr w:type="spellStart"/>
            <w:r w:rsidRPr="009458E2">
              <w:rPr>
                <w:rFonts w:ascii="Arial Narrow" w:eastAsia="Times New Roman" w:hAnsi="Arial Narrow"/>
                <w:color w:val="000000"/>
                <w:sz w:val="20"/>
                <w:szCs w:val="20"/>
                <w:lang w:eastAsia="es-AR"/>
              </w:rPr>
              <w:t>priv</w:t>
            </w:r>
            <w:proofErr w:type="spellEnd"/>
            <w:r w:rsidRPr="009458E2">
              <w:rPr>
                <w:rFonts w:ascii="Arial Narrow" w:eastAsia="Times New Roman" w:hAnsi="Arial Narrow"/>
                <w:color w:val="000000"/>
                <w:sz w:val="20"/>
                <w:szCs w:val="20"/>
                <w:lang w:eastAsia="es-AR"/>
              </w:rPr>
              <w:t xml:space="preserve"> registrados STSS</w:t>
            </w:r>
          </w:p>
        </w:tc>
        <w:tc>
          <w:tcPr>
            <w:tcW w:w="693" w:type="dxa"/>
            <w:tcBorders>
              <w:top w:val="nil"/>
              <w:left w:val="single" w:sz="8" w:space="0" w:color="auto"/>
              <w:bottom w:val="single" w:sz="4" w:space="0" w:color="auto"/>
              <w:right w:val="single" w:sz="4"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1,5%</w:t>
            </w:r>
          </w:p>
        </w:tc>
        <w:tc>
          <w:tcPr>
            <w:tcW w:w="686" w:type="dxa"/>
            <w:tcBorders>
              <w:top w:val="nil"/>
              <w:left w:val="nil"/>
              <w:bottom w:val="single" w:sz="4" w:space="0" w:color="auto"/>
              <w:right w:val="single" w:sz="4"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1,0%</w:t>
            </w:r>
          </w:p>
        </w:tc>
        <w:tc>
          <w:tcPr>
            <w:tcW w:w="686" w:type="dxa"/>
            <w:tcBorders>
              <w:top w:val="nil"/>
              <w:left w:val="nil"/>
              <w:bottom w:val="single" w:sz="4" w:space="0" w:color="auto"/>
              <w:right w:val="single" w:sz="4"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0,4%</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-0,2%</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-1,0%</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-1,5%</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-1,9%</w:t>
            </w:r>
          </w:p>
        </w:tc>
        <w:tc>
          <w:tcPr>
            <w:tcW w:w="72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-2,3%</w:t>
            </w:r>
          </w:p>
        </w:tc>
        <w:tc>
          <w:tcPr>
            <w:tcW w:w="722" w:type="dxa"/>
            <w:tcBorders>
              <w:top w:val="nil"/>
              <w:left w:val="nil"/>
              <w:bottom w:val="single" w:sz="4" w:space="0" w:color="auto"/>
              <w:right w:val="single" w:sz="4" w:space="0" w:color="auto"/>
            </w:tcBorders>
            <w:shd w:val="clear" w:color="000000" w:fill="FEECF5"/>
            <w:noWrap/>
            <w:vAlign w:val="bottom"/>
            <w:hideMark/>
          </w:tcPr>
          <w:p w:rsidR="009458E2" w:rsidRPr="009458E2" w:rsidRDefault="009458E2" w:rsidP="009458E2">
            <w:pPr>
              <w:spacing w:before="0" w:after="0"/>
              <w:ind w:left="-117"/>
              <w:jc w:val="left"/>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 </w:t>
            </w:r>
          </w:p>
        </w:tc>
        <w:tc>
          <w:tcPr>
            <w:tcW w:w="686" w:type="dxa"/>
            <w:tcBorders>
              <w:top w:val="nil"/>
              <w:left w:val="nil"/>
              <w:bottom w:val="single" w:sz="4" w:space="0" w:color="auto"/>
              <w:right w:val="nil"/>
            </w:tcBorders>
            <w:shd w:val="clear" w:color="auto" w:fill="auto"/>
            <w:noWrap/>
            <w:vAlign w:val="bottom"/>
            <w:hideMark/>
          </w:tcPr>
          <w:p w:rsidR="009458E2" w:rsidRPr="009458E2" w:rsidRDefault="009458E2" w:rsidP="009458E2">
            <w:pPr>
              <w:spacing w:before="0" w:after="0"/>
              <w:ind w:left="-117"/>
              <w:jc w:val="left"/>
              <w:rPr>
                <w:rFonts w:ascii="Arial Narrow" w:eastAsia="Times New Roman" w:hAnsi="Arial Narrow" w:cs="Calibri"/>
                <w:color w:val="000000"/>
                <w:sz w:val="20"/>
                <w:szCs w:val="20"/>
                <w:lang w:eastAsia="es-AR"/>
              </w:rPr>
            </w:pPr>
            <w:r w:rsidRPr="009458E2">
              <w:rPr>
                <w:rFonts w:ascii="Arial Narrow" w:eastAsia="Times New Roman" w:hAnsi="Arial Narrow" w:cs="Calibri"/>
                <w:color w:val="000000"/>
                <w:sz w:val="20"/>
                <w:szCs w:val="20"/>
                <w:lang w:eastAsia="es-AR"/>
              </w:rPr>
              <w:t> </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-2,1%</w:t>
            </w:r>
          </w:p>
        </w:tc>
      </w:tr>
      <w:tr w:rsidR="009458E2" w:rsidRPr="009458E2" w:rsidTr="009458E2">
        <w:trPr>
          <w:trHeight w:val="58"/>
        </w:trPr>
        <w:tc>
          <w:tcPr>
            <w:tcW w:w="3733" w:type="dxa"/>
            <w:tcBorders>
              <w:top w:val="nil"/>
              <w:left w:val="single" w:sz="8" w:space="0" w:color="auto"/>
              <w:bottom w:val="single" w:sz="4" w:space="0" w:color="auto"/>
              <w:right w:val="single" w:sz="4" w:space="0" w:color="auto"/>
            </w:tcBorders>
            <w:shd w:val="clear" w:color="auto" w:fill="auto"/>
            <w:noWrap/>
            <w:vAlign w:val="center"/>
            <w:hideMark/>
          </w:tcPr>
          <w:p w:rsidR="009458E2" w:rsidRPr="009458E2" w:rsidRDefault="009458E2" w:rsidP="009458E2">
            <w:pPr>
              <w:spacing w:before="0" w:after="0"/>
              <w:jc w:val="left"/>
              <w:rPr>
                <w:rFonts w:ascii="Arial Narrow" w:eastAsia="Times New Roman" w:hAnsi="Arial Narrow"/>
                <w:color w:val="000000"/>
                <w:sz w:val="20"/>
                <w:szCs w:val="20"/>
                <w:lang w:eastAsia="es-AR"/>
              </w:rPr>
            </w:pPr>
            <w:r>
              <w:rPr>
                <w:rFonts w:ascii="Arial Narrow" w:eastAsia="Times New Roman" w:hAnsi="Arial Narrow"/>
                <w:color w:val="000000"/>
                <w:sz w:val="20"/>
                <w:szCs w:val="20"/>
                <w:lang w:eastAsia="es-AR"/>
              </w:rPr>
              <w:t>13</w:t>
            </w:r>
            <w:r w:rsidRPr="009458E2">
              <w:rPr>
                <w:rFonts w:ascii="Arial Narrow" w:eastAsia="Times New Roman" w:hAnsi="Arial Narrow"/>
                <w:color w:val="000000"/>
                <w:sz w:val="20"/>
                <w:szCs w:val="20"/>
                <w:lang w:eastAsia="es-AR"/>
              </w:rPr>
              <w:t xml:space="preserve"> Créditos y débitos (AFIP) </w:t>
            </w:r>
            <w:proofErr w:type="spellStart"/>
            <w:r w:rsidRPr="009458E2">
              <w:rPr>
                <w:rFonts w:ascii="Arial Narrow" w:eastAsia="Times New Roman" w:hAnsi="Arial Narrow"/>
                <w:color w:val="000000"/>
                <w:sz w:val="20"/>
                <w:szCs w:val="20"/>
                <w:lang w:eastAsia="es-AR"/>
              </w:rPr>
              <w:t>Mill</w:t>
            </w:r>
            <w:proofErr w:type="spellEnd"/>
            <w:r w:rsidRPr="009458E2">
              <w:rPr>
                <w:rFonts w:ascii="Arial Narrow" w:eastAsia="Times New Roman" w:hAnsi="Arial Narrow"/>
                <w:color w:val="000000"/>
                <w:sz w:val="20"/>
                <w:szCs w:val="20"/>
                <w:lang w:eastAsia="es-AR"/>
              </w:rPr>
              <w:t xml:space="preserve"> $ 2016</w:t>
            </w:r>
          </w:p>
        </w:tc>
        <w:tc>
          <w:tcPr>
            <w:tcW w:w="693" w:type="dxa"/>
            <w:tcBorders>
              <w:top w:val="nil"/>
              <w:left w:val="single" w:sz="8" w:space="0" w:color="auto"/>
              <w:bottom w:val="single" w:sz="4" w:space="0" w:color="auto"/>
              <w:right w:val="single" w:sz="4" w:space="0" w:color="auto"/>
            </w:tcBorders>
            <w:shd w:val="clear" w:color="auto" w:fill="auto"/>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5,8%</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-13,2%</w:t>
            </w:r>
          </w:p>
        </w:tc>
        <w:tc>
          <w:tcPr>
            <w:tcW w:w="686"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-16,1%</w:t>
            </w:r>
          </w:p>
        </w:tc>
        <w:tc>
          <w:tcPr>
            <w:tcW w:w="685"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-3,4%</w:t>
            </w:r>
          </w:p>
        </w:tc>
        <w:tc>
          <w:tcPr>
            <w:tcW w:w="77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-11,2%</w:t>
            </w:r>
          </w:p>
        </w:tc>
        <w:tc>
          <w:tcPr>
            <w:tcW w:w="700"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-15,8%</w:t>
            </w:r>
          </w:p>
        </w:tc>
        <w:tc>
          <w:tcPr>
            <w:tcW w:w="708"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-23,7%</w:t>
            </w:r>
          </w:p>
        </w:tc>
        <w:tc>
          <w:tcPr>
            <w:tcW w:w="728" w:type="dxa"/>
            <w:tcBorders>
              <w:top w:val="nil"/>
              <w:left w:val="nil"/>
              <w:bottom w:val="single" w:sz="4" w:space="0" w:color="auto"/>
              <w:right w:val="single" w:sz="4" w:space="0" w:color="auto"/>
            </w:tcBorders>
            <w:shd w:val="clear" w:color="000000" w:fill="FFFFFF"/>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2,2%</w:t>
            </w:r>
          </w:p>
        </w:tc>
        <w:tc>
          <w:tcPr>
            <w:tcW w:w="722" w:type="dxa"/>
            <w:tcBorders>
              <w:top w:val="nil"/>
              <w:left w:val="nil"/>
              <w:bottom w:val="single" w:sz="4" w:space="0" w:color="auto"/>
              <w:right w:val="single" w:sz="4"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-5,9%</w:t>
            </w:r>
          </w:p>
        </w:tc>
        <w:tc>
          <w:tcPr>
            <w:tcW w:w="686" w:type="dxa"/>
            <w:tcBorders>
              <w:top w:val="nil"/>
              <w:left w:val="nil"/>
              <w:bottom w:val="single" w:sz="4" w:space="0" w:color="auto"/>
              <w:right w:val="nil"/>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-1,6%</w:t>
            </w:r>
          </w:p>
        </w:tc>
        <w:tc>
          <w:tcPr>
            <w:tcW w:w="686" w:type="dxa"/>
            <w:tcBorders>
              <w:top w:val="nil"/>
              <w:left w:val="single" w:sz="8" w:space="0" w:color="auto"/>
              <w:bottom w:val="single" w:sz="4" w:space="0" w:color="auto"/>
              <w:right w:val="single" w:sz="8" w:space="0" w:color="auto"/>
            </w:tcBorders>
            <w:shd w:val="clear" w:color="000000" w:fill="FEECF5"/>
            <w:noWrap/>
            <w:vAlign w:val="center"/>
            <w:hideMark/>
          </w:tcPr>
          <w:p w:rsidR="009458E2" w:rsidRPr="009458E2" w:rsidRDefault="009458E2"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-1,7%</w:t>
            </w:r>
          </w:p>
        </w:tc>
      </w:tr>
      <w:tr w:rsidR="008E76B9" w:rsidRPr="009458E2" w:rsidTr="00C62F27">
        <w:trPr>
          <w:trHeight w:val="58"/>
        </w:trPr>
        <w:tc>
          <w:tcPr>
            <w:tcW w:w="3733" w:type="dxa"/>
            <w:tcBorders>
              <w:top w:val="nil"/>
              <w:left w:val="single" w:sz="8" w:space="0" w:color="auto"/>
              <w:bottom w:val="single" w:sz="4" w:space="0" w:color="auto"/>
              <w:right w:val="single" w:sz="4" w:space="0" w:color="auto"/>
            </w:tcBorders>
            <w:shd w:val="clear" w:color="auto" w:fill="auto"/>
            <w:noWrap/>
            <w:vAlign w:val="center"/>
          </w:tcPr>
          <w:p w:rsidR="008E76B9" w:rsidRDefault="008E76B9" w:rsidP="009458E2">
            <w:pPr>
              <w:spacing w:before="0" w:after="0"/>
              <w:jc w:val="left"/>
              <w:rPr>
                <w:rFonts w:ascii="Arial Narrow" w:eastAsia="Times New Roman" w:hAnsi="Arial Narrow"/>
                <w:color w:val="000000"/>
                <w:sz w:val="20"/>
                <w:szCs w:val="20"/>
                <w:lang w:eastAsia="es-AR"/>
              </w:rPr>
            </w:pPr>
            <w:r>
              <w:rPr>
                <w:rFonts w:ascii="Arial Narrow" w:eastAsia="Times New Roman" w:hAnsi="Arial Narrow"/>
                <w:color w:val="000000"/>
                <w:sz w:val="20"/>
                <w:szCs w:val="20"/>
                <w:lang w:eastAsia="es-AR"/>
              </w:rPr>
              <w:t>14</w:t>
            </w:r>
            <w:r w:rsidRPr="009458E2">
              <w:rPr>
                <w:rFonts w:ascii="Arial Narrow" w:eastAsia="Times New Roman" w:hAnsi="Arial Narrow"/>
                <w:color w:val="000000"/>
                <w:sz w:val="20"/>
                <w:szCs w:val="20"/>
                <w:lang w:eastAsia="es-AR"/>
              </w:rPr>
              <w:t xml:space="preserve"> IVA DGI </w:t>
            </w:r>
            <w:proofErr w:type="spellStart"/>
            <w:r w:rsidRPr="009458E2">
              <w:rPr>
                <w:rFonts w:ascii="Arial Narrow" w:eastAsia="Times New Roman" w:hAnsi="Arial Narrow"/>
                <w:color w:val="000000"/>
                <w:sz w:val="20"/>
                <w:szCs w:val="20"/>
                <w:lang w:eastAsia="es-AR"/>
              </w:rPr>
              <w:t>Mill</w:t>
            </w:r>
            <w:proofErr w:type="spellEnd"/>
            <w:r w:rsidRPr="009458E2">
              <w:rPr>
                <w:rFonts w:ascii="Arial Narrow" w:eastAsia="Times New Roman" w:hAnsi="Arial Narrow"/>
                <w:color w:val="000000"/>
                <w:sz w:val="20"/>
                <w:szCs w:val="20"/>
                <w:lang w:eastAsia="es-AR"/>
              </w:rPr>
              <w:t xml:space="preserve"> $ 2016</w:t>
            </w:r>
          </w:p>
        </w:tc>
        <w:tc>
          <w:tcPr>
            <w:tcW w:w="693" w:type="dxa"/>
            <w:tcBorders>
              <w:top w:val="nil"/>
              <w:left w:val="single" w:sz="8" w:space="0" w:color="auto"/>
              <w:bottom w:val="single" w:sz="4" w:space="0" w:color="auto"/>
              <w:right w:val="single" w:sz="4" w:space="0" w:color="auto"/>
            </w:tcBorders>
            <w:shd w:val="clear" w:color="auto" w:fill="auto"/>
            <w:noWrap/>
            <w:vAlign w:val="center"/>
          </w:tcPr>
          <w:p w:rsidR="008E76B9" w:rsidRPr="009458E2" w:rsidRDefault="008E76B9" w:rsidP="009458E2">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4,4%</w:t>
            </w:r>
          </w:p>
        </w:tc>
        <w:tc>
          <w:tcPr>
            <w:tcW w:w="686" w:type="dxa"/>
            <w:tcBorders>
              <w:top w:val="nil"/>
              <w:left w:val="nil"/>
              <w:bottom w:val="single" w:sz="4" w:space="0" w:color="auto"/>
              <w:right w:val="single" w:sz="4" w:space="0" w:color="auto"/>
            </w:tcBorders>
            <w:shd w:val="clear" w:color="000000" w:fill="FEECF5"/>
            <w:noWrap/>
            <w:vAlign w:val="center"/>
          </w:tcPr>
          <w:p w:rsidR="008E76B9" w:rsidRPr="009458E2" w:rsidRDefault="008E76B9" w:rsidP="008E76B9">
            <w:pPr>
              <w:spacing w:before="0" w:after="0"/>
              <w:ind w:left="-117" w:right="-204"/>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-6,6%</w:t>
            </w:r>
          </w:p>
        </w:tc>
        <w:tc>
          <w:tcPr>
            <w:tcW w:w="686" w:type="dxa"/>
            <w:tcBorders>
              <w:top w:val="nil"/>
              <w:left w:val="nil"/>
              <w:bottom w:val="single" w:sz="4" w:space="0" w:color="auto"/>
              <w:right w:val="single" w:sz="4" w:space="0" w:color="auto"/>
            </w:tcBorders>
            <w:shd w:val="clear" w:color="000000" w:fill="FEECF5"/>
            <w:noWrap/>
            <w:vAlign w:val="center"/>
          </w:tcPr>
          <w:p w:rsidR="008E76B9" w:rsidRPr="009458E2" w:rsidRDefault="008E76B9" w:rsidP="008E76B9">
            <w:pPr>
              <w:spacing w:before="0" w:after="0"/>
              <w:ind w:left="-117" w:right="-15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-15,1%</w:t>
            </w:r>
          </w:p>
        </w:tc>
        <w:tc>
          <w:tcPr>
            <w:tcW w:w="685" w:type="dxa"/>
            <w:tcBorders>
              <w:top w:val="nil"/>
              <w:left w:val="nil"/>
              <w:bottom w:val="single" w:sz="4" w:space="0" w:color="auto"/>
              <w:right w:val="single" w:sz="4" w:space="0" w:color="auto"/>
            </w:tcBorders>
            <w:shd w:val="clear" w:color="000000" w:fill="FEECF5"/>
            <w:noWrap/>
            <w:vAlign w:val="center"/>
          </w:tcPr>
          <w:p w:rsidR="008E76B9" w:rsidRPr="009458E2" w:rsidRDefault="008E76B9" w:rsidP="008E76B9">
            <w:pPr>
              <w:spacing w:before="0" w:after="0"/>
              <w:ind w:left="-117" w:right="-158"/>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-10,0%</w:t>
            </w:r>
          </w:p>
        </w:tc>
        <w:tc>
          <w:tcPr>
            <w:tcW w:w="770" w:type="dxa"/>
            <w:tcBorders>
              <w:top w:val="nil"/>
              <w:left w:val="nil"/>
              <w:bottom w:val="single" w:sz="4" w:space="0" w:color="auto"/>
              <w:right w:val="single" w:sz="4" w:space="0" w:color="auto"/>
            </w:tcBorders>
            <w:shd w:val="clear" w:color="000000" w:fill="FEECF5"/>
            <w:noWrap/>
            <w:vAlign w:val="center"/>
          </w:tcPr>
          <w:p w:rsidR="008E76B9" w:rsidRPr="009458E2" w:rsidRDefault="008E76B9" w:rsidP="008E76B9">
            <w:pPr>
              <w:spacing w:before="0" w:after="0"/>
              <w:ind w:left="-117" w:right="-73"/>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-18,2%</w:t>
            </w:r>
          </w:p>
        </w:tc>
        <w:tc>
          <w:tcPr>
            <w:tcW w:w="700" w:type="dxa"/>
            <w:tcBorders>
              <w:top w:val="nil"/>
              <w:left w:val="nil"/>
              <w:bottom w:val="single" w:sz="4" w:space="0" w:color="auto"/>
              <w:right w:val="single" w:sz="4" w:space="0" w:color="auto"/>
            </w:tcBorders>
            <w:shd w:val="clear" w:color="000000" w:fill="FEECF5"/>
            <w:noWrap/>
            <w:vAlign w:val="center"/>
          </w:tcPr>
          <w:p w:rsidR="008E76B9" w:rsidRPr="009458E2" w:rsidRDefault="008E76B9" w:rsidP="008E76B9">
            <w:pPr>
              <w:spacing w:before="0" w:after="0"/>
              <w:ind w:left="-117" w:right="-198"/>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-11,4%</w:t>
            </w:r>
          </w:p>
        </w:tc>
        <w:tc>
          <w:tcPr>
            <w:tcW w:w="708" w:type="dxa"/>
            <w:tcBorders>
              <w:top w:val="nil"/>
              <w:left w:val="nil"/>
              <w:bottom w:val="single" w:sz="4" w:space="0" w:color="auto"/>
              <w:right w:val="single" w:sz="4" w:space="0" w:color="auto"/>
            </w:tcBorders>
            <w:shd w:val="clear" w:color="000000" w:fill="FEECF5"/>
            <w:noWrap/>
            <w:vAlign w:val="center"/>
          </w:tcPr>
          <w:p w:rsidR="008E76B9" w:rsidRPr="009458E2" w:rsidRDefault="008E76B9" w:rsidP="008E76B9">
            <w:pPr>
              <w:spacing w:before="0" w:after="0"/>
              <w:ind w:left="-117" w:right="-135"/>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-14,7%</w:t>
            </w:r>
          </w:p>
        </w:tc>
        <w:tc>
          <w:tcPr>
            <w:tcW w:w="728" w:type="dxa"/>
            <w:tcBorders>
              <w:top w:val="nil"/>
              <w:left w:val="nil"/>
              <w:bottom w:val="single" w:sz="4" w:space="0" w:color="auto"/>
              <w:right w:val="single" w:sz="4" w:space="0" w:color="auto"/>
            </w:tcBorders>
            <w:shd w:val="clear" w:color="000000" w:fill="FFFFFF"/>
            <w:noWrap/>
            <w:vAlign w:val="center"/>
          </w:tcPr>
          <w:p w:rsidR="008E76B9" w:rsidRPr="009458E2" w:rsidRDefault="008E76B9" w:rsidP="008E76B9">
            <w:pPr>
              <w:spacing w:before="0" w:after="0"/>
              <w:ind w:left="-117" w:right="-135"/>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-12,3%</w:t>
            </w:r>
          </w:p>
        </w:tc>
        <w:tc>
          <w:tcPr>
            <w:tcW w:w="722" w:type="dxa"/>
            <w:tcBorders>
              <w:top w:val="nil"/>
              <w:left w:val="nil"/>
              <w:bottom w:val="single" w:sz="4" w:space="0" w:color="auto"/>
              <w:right w:val="single" w:sz="4" w:space="0" w:color="auto"/>
            </w:tcBorders>
            <w:shd w:val="clear" w:color="000000" w:fill="FEECF5"/>
            <w:noWrap/>
            <w:vAlign w:val="center"/>
          </w:tcPr>
          <w:p w:rsidR="008E76B9" w:rsidRPr="009458E2" w:rsidRDefault="008E76B9" w:rsidP="008E76B9">
            <w:pPr>
              <w:spacing w:before="0" w:after="0"/>
              <w:ind w:left="-117" w:right="-135"/>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-12,7%</w:t>
            </w:r>
          </w:p>
        </w:tc>
        <w:tc>
          <w:tcPr>
            <w:tcW w:w="686" w:type="dxa"/>
            <w:tcBorders>
              <w:top w:val="nil"/>
              <w:left w:val="nil"/>
              <w:bottom w:val="single" w:sz="4" w:space="0" w:color="auto"/>
              <w:right w:val="nil"/>
            </w:tcBorders>
            <w:shd w:val="clear" w:color="000000" w:fill="FEECF5"/>
            <w:noWrap/>
            <w:vAlign w:val="center"/>
          </w:tcPr>
          <w:p w:rsidR="008E76B9" w:rsidRPr="009458E2" w:rsidRDefault="008E76B9" w:rsidP="008E76B9">
            <w:pPr>
              <w:spacing w:before="0" w:after="0"/>
              <w:ind w:left="-117" w:right="-135"/>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-4,0%</w:t>
            </w:r>
          </w:p>
        </w:tc>
        <w:tc>
          <w:tcPr>
            <w:tcW w:w="686" w:type="dxa"/>
            <w:tcBorders>
              <w:top w:val="nil"/>
              <w:left w:val="single" w:sz="8" w:space="0" w:color="auto"/>
              <w:bottom w:val="single" w:sz="4" w:space="0" w:color="auto"/>
              <w:right w:val="single" w:sz="8" w:space="0" w:color="auto"/>
            </w:tcBorders>
            <w:shd w:val="clear" w:color="auto" w:fill="FFFFFF" w:themeFill="background1"/>
            <w:noWrap/>
            <w:vAlign w:val="center"/>
          </w:tcPr>
          <w:p w:rsidR="008E76B9" w:rsidRPr="009458E2" w:rsidRDefault="008E76B9" w:rsidP="008E76B9">
            <w:pPr>
              <w:spacing w:before="0" w:after="0"/>
              <w:ind w:left="-117"/>
              <w:jc w:val="center"/>
              <w:rPr>
                <w:rFonts w:ascii="Arial Narrow" w:eastAsia="Times New Roman" w:hAnsi="Arial Narrow" w:cs="Calibri"/>
                <w:b/>
                <w:bCs/>
                <w:color w:val="000000"/>
                <w:sz w:val="20"/>
                <w:szCs w:val="20"/>
                <w:lang w:eastAsia="es-AR"/>
              </w:rPr>
            </w:pPr>
            <w:r w:rsidRPr="009458E2">
              <w:rPr>
                <w:rFonts w:ascii="Arial Narrow" w:eastAsia="Times New Roman" w:hAnsi="Arial Narrow" w:cs="Calibri"/>
                <w:b/>
                <w:bCs/>
                <w:color w:val="000000"/>
                <w:sz w:val="20"/>
                <w:szCs w:val="20"/>
                <w:lang w:eastAsia="es-AR"/>
              </w:rPr>
              <w:t>0,9%</w:t>
            </w:r>
          </w:p>
        </w:tc>
      </w:tr>
      <w:tr w:rsidR="008E76B9" w:rsidRPr="009458E2" w:rsidTr="009458E2">
        <w:trPr>
          <w:trHeight w:val="58"/>
        </w:trPr>
        <w:tc>
          <w:tcPr>
            <w:tcW w:w="3733" w:type="dxa"/>
            <w:tcBorders>
              <w:top w:val="nil"/>
              <w:left w:val="single" w:sz="8" w:space="0" w:color="auto"/>
              <w:bottom w:val="single" w:sz="8" w:space="0" w:color="auto"/>
              <w:right w:val="single" w:sz="8" w:space="0" w:color="auto"/>
            </w:tcBorders>
            <w:shd w:val="clear" w:color="auto" w:fill="auto"/>
            <w:noWrap/>
            <w:vAlign w:val="center"/>
            <w:hideMark/>
          </w:tcPr>
          <w:p w:rsidR="008E76B9" w:rsidRPr="009458E2" w:rsidRDefault="008E76B9" w:rsidP="009458E2">
            <w:pPr>
              <w:spacing w:before="0" w:after="0"/>
              <w:jc w:val="left"/>
              <w:rPr>
                <w:rFonts w:ascii="Arial Narrow" w:eastAsia="Times New Roman" w:hAnsi="Arial Narrow"/>
                <w:color w:val="000000"/>
                <w:sz w:val="20"/>
                <w:szCs w:val="20"/>
                <w:lang w:eastAsia="es-AR"/>
              </w:rPr>
            </w:pPr>
            <w:r w:rsidRPr="009458E2">
              <w:rPr>
                <w:rFonts w:ascii="Arial Narrow" w:eastAsia="Times New Roman" w:hAnsi="Arial Narrow"/>
                <w:color w:val="000000"/>
                <w:sz w:val="20"/>
                <w:szCs w:val="20"/>
                <w:lang w:eastAsia="es-AR"/>
              </w:rPr>
              <w:t>1</w:t>
            </w:r>
            <w:r>
              <w:rPr>
                <w:rFonts w:ascii="Arial Narrow" w:eastAsia="Times New Roman" w:hAnsi="Arial Narrow"/>
                <w:color w:val="000000"/>
                <w:sz w:val="20"/>
                <w:szCs w:val="20"/>
                <w:lang w:eastAsia="es-AR"/>
              </w:rPr>
              <w:t>5</w:t>
            </w:r>
            <w:r w:rsidRPr="009458E2">
              <w:rPr>
                <w:rFonts w:ascii="Arial Narrow" w:eastAsia="Times New Roman" w:hAnsi="Arial Narrow"/>
                <w:color w:val="000000"/>
                <w:sz w:val="20"/>
                <w:szCs w:val="20"/>
                <w:lang w:eastAsia="es-AR"/>
              </w:rPr>
              <w:t xml:space="preserve"> Préstamos hipotecarios y </w:t>
            </w:r>
            <w:proofErr w:type="spellStart"/>
            <w:r w:rsidRPr="009458E2">
              <w:rPr>
                <w:rFonts w:ascii="Arial Narrow" w:eastAsia="Times New Roman" w:hAnsi="Arial Narrow"/>
                <w:color w:val="000000"/>
                <w:sz w:val="20"/>
                <w:szCs w:val="20"/>
                <w:lang w:eastAsia="es-AR"/>
              </w:rPr>
              <w:t>prend</w:t>
            </w:r>
            <w:proofErr w:type="spellEnd"/>
            <w:r w:rsidRPr="009458E2">
              <w:rPr>
                <w:rFonts w:ascii="Arial Narrow" w:eastAsia="Times New Roman" w:hAnsi="Arial Narrow"/>
                <w:color w:val="000000"/>
                <w:sz w:val="20"/>
                <w:szCs w:val="20"/>
                <w:lang w:eastAsia="es-AR"/>
              </w:rPr>
              <w:t xml:space="preserve"> </w:t>
            </w:r>
            <w:proofErr w:type="spellStart"/>
            <w:r w:rsidRPr="009458E2">
              <w:rPr>
                <w:rFonts w:ascii="Arial Narrow" w:eastAsia="Times New Roman" w:hAnsi="Arial Narrow"/>
                <w:color w:val="000000"/>
                <w:sz w:val="20"/>
                <w:szCs w:val="20"/>
                <w:lang w:eastAsia="es-AR"/>
              </w:rPr>
              <w:t>Mill</w:t>
            </w:r>
            <w:proofErr w:type="spellEnd"/>
            <w:r w:rsidRPr="009458E2">
              <w:rPr>
                <w:rFonts w:ascii="Arial Narrow" w:eastAsia="Times New Roman" w:hAnsi="Arial Narrow"/>
                <w:color w:val="000000"/>
                <w:sz w:val="20"/>
                <w:szCs w:val="20"/>
                <w:lang w:eastAsia="es-AR"/>
              </w:rPr>
              <w:t xml:space="preserve"> $ 2015</w:t>
            </w:r>
          </w:p>
        </w:tc>
        <w:tc>
          <w:tcPr>
            <w:tcW w:w="693" w:type="dxa"/>
            <w:tcBorders>
              <w:top w:val="single" w:sz="4" w:space="0" w:color="auto"/>
              <w:left w:val="single" w:sz="8" w:space="0" w:color="auto"/>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-30,9%</w:t>
            </w:r>
          </w:p>
        </w:tc>
        <w:tc>
          <w:tcPr>
            <w:tcW w:w="686" w:type="dxa"/>
            <w:tcBorders>
              <w:top w:val="single" w:sz="4" w:space="0" w:color="auto"/>
              <w:left w:val="nil"/>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-40,0%</w:t>
            </w:r>
          </w:p>
        </w:tc>
        <w:tc>
          <w:tcPr>
            <w:tcW w:w="686" w:type="dxa"/>
            <w:tcBorders>
              <w:top w:val="single" w:sz="4" w:space="0" w:color="auto"/>
              <w:left w:val="nil"/>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-42,3%</w:t>
            </w:r>
          </w:p>
        </w:tc>
        <w:tc>
          <w:tcPr>
            <w:tcW w:w="685" w:type="dxa"/>
            <w:tcBorders>
              <w:top w:val="single" w:sz="4" w:space="0" w:color="auto"/>
              <w:left w:val="nil"/>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-46,1%</w:t>
            </w:r>
          </w:p>
        </w:tc>
        <w:tc>
          <w:tcPr>
            <w:tcW w:w="770" w:type="dxa"/>
            <w:tcBorders>
              <w:top w:val="single" w:sz="4" w:space="0" w:color="auto"/>
              <w:left w:val="nil"/>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-46,8%</w:t>
            </w:r>
          </w:p>
        </w:tc>
        <w:tc>
          <w:tcPr>
            <w:tcW w:w="700" w:type="dxa"/>
            <w:tcBorders>
              <w:top w:val="single" w:sz="4" w:space="0" w:color="auto"/>
              <w:left w:val="nil"/>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-47,4%</w:t>
            </w:r>
          </w:p>
        </w:tc>
        <w:tc>
          <w:tcPr>
            <w:tcW w:w="708" w:type="dxa"/>
            <w:tcBorders>
              <w:top w:val="single" w:sz="4" w:space="0" w:color="auto"/>
              <w:left w:val="nil"/>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-45,7%</w:t>
            </w:r>
          </w:p>
        </w:tc>
        <w:tc>
          <w:tcPr>
            <w:tcW w:w="728" w:type="dxa"/>
            <w:tcBorders>
              <w:top w:val="single" w:sz="4" w:space="0" w:color="auto"/>
              <w:left w:val="nil"/>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-40,4%</w:t>
            </w:r>
          </w:p>
        </w:tc>
        <w:tc>
          <w:tcPr>
            <w:tcW w:w="722" w:type="dxa"/>
            <w:tcBorders>
              <w:top w:val="single" w:sz="4" w:space="0" w:color="auto"/>
              <w:left w:val="nil"/>
              <w:bottom w:val="single" w:sz="8" w:space="0" w:color="auto"/>
              <w:right w:val="single" w:sz="4"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-40,3%</w:t>
            </w:r>
          </w:p>
        </w:tc>
        <w:tc>
          <w:tcPr>
            <w:tcW w:w="686" w:type="dxa"/>
            <w:tcBorders>
              <w:top w:val="single" w:sz="4" w:space="0" w:color="auto"/>
              <w:left w:val="nil"/>
              <w:bottom w:val="single" w:sz="8" w:space="0" w:color="auto"/>
              <w:right w:val="nil"/>
            </w:tcBorders>
            <w:shd w:val="clear" w:color="auto" w:fill="auto"/>
            <w:noWrap/>
            <w:vAlign w:val="bottom"/>
            <w:hideMark/>
          </w:tcPr>
          <w:p w:rsidR="008E76B9" w:rsidRPr="009458E2" w:rsidRDefault="008E76B9" w:rsidP="009458E2">
            <w:pPr>
              <w:spacing w:before="0" w:after="0"/>
              <w:ind w:left="-117"/>
              <w:jc w:val="left"/>
              <w:rPr>
                <w:rFonts w:ascii="Arial Narrow" w:eastAsia="Times New Roman" w:hAnsi="Arial Narrow" w:cs="Calibri"/>
                <w:color w:val="000000"/>
                <w:sz w:val="20"/>
                <w:szCs w:val="20"/>
                <w:lang w:eastAsia="es-AR"/>
              </w:rPr>
            </w:pPr>
            <w:r w:rsidRPr="009458E2">
              <w:rPr>
                <w:rFonts w:ascii="Arial Narrow" w:eastAsia="Times New Roman" w:hAnsi="Arial Narrow" w:cs="Calibri"/>
                <w:color w:val="000000"/>
                <w:sz w:val="20"/>
                <w:szCs w:val="20"/>
                <w:lang w:eastAsia="es-AR"/>
              </w:rPr>
              <w:t> </w:t>
            </w:r>
          </w:p>
        </w:tc>
        <w:tc>
          <w:tcPr>
            <w:tcW w:w="686" w:type="dxa"/>
            <w:tcBorders>
              <w:top w:val="single" w:sz="4" w:space="0" w:color="auto"/>
              <w:left w:val="single" w:sz="8" w:space="0" w:color="auto"/>
              <w:bottom w:val="single" w:sz="8" w:space="0" w:color="auto"/>
              <w:right w:val="single" w:sz="8" w:space="0" w:color="auto"/>
            </w:tcBorders>
            <w:shd w:val="clear" w:color="000000" w:fill="FEECF5"/>
            <w:noWrap/>
            <w:vAlign w:val="center"/>
            <w:hideMark/>
          </w:tcPr>
          <w:p w:rsidR="008E76B9" w:rsidRPr="009458E2" w:rsidRDefault="008E76B9" w:rsidP="009458E2">
            <w:pPr>
              <w:spacing w:before="0" w:after="0"/>
              <w:ind w:left="-117"/>
              <w:jc w:val="center"/>
              <w:rPr>
                <w:rFonts w:ascii="Arial Narrow" w:eastAsia="Times New Roman" w:hAnsi="Arial Narrow" w:cs="Calibri"/>
                <w:b/>
                <w:bCs/>
                <w:color w:val="FF0000"/>
                <w:sz w:val="20"/>
                <w:szCs w:val="20"/>
                <w:lang w:eastAsia="es-AR"/>
              </w:rPr>
            </w:pPr>
            <w:r w:rsidRPr="009458E2">
              <w:rPr>
                <w:rFonts w:ascii="Arial Narrow" w:eastAsia="Times New Roman" w:hAnsi="Arial Narrow" w:cs="Calibri"/>
                <w:b/>
                <w:bCs/>
                <w:color w:val="FF0000"/>
                <w:sz w:val="20"/>
                <w:szCs w:val="20"/>
                <w:lang w:eastAsia="es-AR"/>
              </w:rPr>
              <w:t>-27,3%</w:t>
            </w:r>
          </w:p>
        </w:tc>
      </w:tr>
    </w:tbl>
    <w:p w:rsidR="00C57B91" w:rsidRPr="009505C5" w:rsidRDefault="00C57B91" w:rsidP="00C57B91">
      <w:pPr>
        <w:pStyle w:val="Prrafodelista"/>
        <w:spacing w:before="0" w:after="0"/>
        <w:ind w:left="142" w:right="368"/>
        <w:contextualSpacing w:val="0"/>
        <w:jc w:val="center"/>
        <w:rPr>
          <w:rFonts w:ascii="Arial Narrow" w:hAnsi="Arial Narrow"/>
          <w:sz w:val="18"/>
          <w:szCs w:val="18"/>
        </w:rPr>
      </w:pPr>
      <w:r w:rsidRPr="009505C5">
        <w:rPr>
          <w:rFonts w:ascii="Arial Narrow" w:hAnsi="Arial Narrow"/>
          <w:sz w:val="18"/>
          <w:szCs w:val="18"/>
        </w:rPr>
        <w:t>Fuente: INDEC-FIEL-ADIMRA-BCRA</w:t>
      </w:r>
    </w:p>
    <w:p w:rsidR="0074534E" w:rsidRDefault="0074534E" w:rsidP="00243233">
      <w:pPr>
        <w:pStyle w:val="Prrafodelista"/>
        <w:spacing w:before="0" w:after="0"/>
        <w:ind w:left="0"/>
        <w:contextualSpacing w:val="0"/>
      </w:pPr>
    </w:p>
    <w:sectPr w:rsidR="0074534E" w:rsidSect="0074534E">
      <w:pgSz w:w="11907" w:h="16839" w:code="9"/>
      <w:pgMar w:top="1361" w:right="62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2EB" w:rsidRDefault="00EF52EB" w:rsidP="00037609">
      <w:pPr>
        <w:spacing w:before="0" w:after="0"/>
      </w:pPr>
      <w:r>
        <w:separator/>
      </w:r>
    </w:p>
  </w:endnote>
  <w:endnote w:type="continuationSeparator" w:id="0">
    <w:p w:rsidR="00EF52EB" w:rsidRDefault="00EF52EB" w:rsidP="0003760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2EB" w:rsidRDefault="00EF52EB" w:rsidP="00037609">
      <w:pPr>
        <w:spacing w:before="0" w:after="0"/>
      </w:pPr>
      <w:r>
        <w:separator/>
      </w:r>
    </w:p>
  </w:footnote>
  <w:footnote w:type="continuationSeparator" w:id="0">
    <w:p w:rsidR="00EF52EB" w:rsidRDefault="00EF52EB" w:rsidP="00037609">
      <w:pPr>
        <w:spacing w:before="0" w:after="0"/>
      </w:pPr>
      <w:r>
        <w:continuationSeparator/>
      </w:r>
    </w:p>
  </w:footnote>
  <w:footnote w:id="1">
    <w:p w:rsidR="007303CB" w:rsidRDefault="007303CB">
      <w:pPr>
        <w:pStyle w:val="Textonotapie"/>
      </w:pPr>
      <w:r>
        <w:rPr>
          <w:rStyle w:val="Refdenotaalpie"/>
        </w:rPr>
        <w:footnoteRef/>
      </w:r>
      <w:r>
        <w:t xml:space="preserve"> </w:t>
      </w:r>
      <w:hyperlink r:id="rId1" w:history="1">
        <w:r w:rsidRPr="007303CB">
          <w:rPr>
            <w:rStyle w:val="Hipervnculo"/>
            <w:rFonts w:ascii="Arial Narrow" w:hAnsi="Arial Narrow"/>
            <w:sz w:val="18"/>
            <w:szCs w:val="18"/>
          </w:rPr>
          <w:t>https://economia4punto0.wordpress.com/2019/12/19/la-relacion-del-pib-con-las-importaciones-1980-2015/</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20D63"/>
    <w:multiLevelType w:val="hybridMultilevel"/>
    <w:tmpl w:val="7166F07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8A101D3"/>
    <w:multiLevelType w:val="hybridMultilevel"/>
    <w:tmpl w:val="20245D4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60E7D30"/>
    <w:multiLevelType w:val="hybridMultilevel"/>
    <w:tmpl w:val="FE0A80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3A8"/>
    <w:rsid w:val="00037609"/>
    <w:rsid w:val="000747C5"/>
    <w:rsid w:val="000C70EA"/>
    <w:rsid w:val="000D1F33"/>
    <w:rsid w:val="000F0FB2"/>
    <w:rsid w:val="000F272F"/>
    <w:rsid w:val="000F4C09"/>
    <w:rsid w:val="001023CC"/>
    <w:rsid w:val="00136A3B"/>
    <w:rsid w:val="00152AF4"/>
    <w:rsid w:val="0015700B"/>
    <w:rsid w:val="001623BF"/>
    <w:rsid w:val="001642C3"/>
    <w:rsid w:val="00174B79"/>
    <w:rsid w:val="001A1CD1"/>
    <w:rsid w:val="001A7D2C"/>
    <w:rsid w:val="001D073D"/>
    <w:rsid w:val="001D54DC"/>
    <w:rsid w:val="001E781B"/>
    <w:rsid w:val="001F4BE2"/>
    <w:rsid w:val="001F7FD5"/>
    <w:rsid w:val="00206BA0"/>
    <w:rsid w:val="00215EA8"/>
    <w:rsid w:val="0022225E"/>
    <w:rsid w:val="0023559C"/>
    <w:rsid w:val="00243233"/>
    <w:rsid w:val="002532FA"/>
    <w:rsid w:val="00265746"/>
    <w:rsid w:val="00266DCE"/>
    <w:rsid w:val="002A086D"/>
    <w:rsid w:val="002B0FFA"/>
    <w:rsid w:val="002B3B45"/>
    <w:rsid w:val="002F7973"/>
    <w:rsid w:val="0035479A"/>
    <w:rsid w:val="0036025C"/>
    <w:rsid w:val="00371BB1"/>
    <w:rsid w:val="003B0B46"/>
    <w:rsid w:val="003F1669"/>
    <w:rsid w:val="00443628"/>
    <w:rsid w:val="00455EC8"/>
    <w:rsid w:val="004654DC"/>
    <w:rsid w:val="004852BA"/>
    <w:rsid w:val="004A7F68"/>
    <w:rsid w:val="004D0F6E"/>
    <w:rsid w:val="004D5C57"/>
    <w:rsid w:val="004E6302"/>
    <w:rsid w:val="004F63AF"/>
    <w:rsid w:val="00513579"/>
    <w:rsid w:val="00527A63"/>
    <w:rsid w:val="005319CA"/>
    <w:rsid w:val="00535A2A"/>
    <w:rsid w:val="005715E7"/>
    <w:rsid w:val="005A368A"/>
    <w:rsid w:val="00607C26"/>
    <w:rsid w:val="006514F6"/>
    <w:rsid w:val="0065243B"/>
    <w:rsid w:val="00676721"/>
    <w:rsid w:val="006C6F19"/>
    <w:rsid w:val="006F7C64"/>
    <w:rsid w:val="007303CB"/>
    <w:rsid w:val="007348D7"/>
    <w:rsid w:val="0074534E"/>
    <w:rsid w:val="00756F9F"/>
    <w:rsid w:val="007E3957"/>
    <w:rsid w:val="007E4902"/>
    <w:rsid w:val="007E4BFD"/>
    <w:rsid w:val="007F1A94"/>
    <w:rsid w:val="00802CBA"/>
    <w:rsid w:val="008055B1"/>
    <w:rsid w:val="00833930"/>
    <w:rsid w:val="00833D49"/>
    <w:rsid w:val="00882860"/>
    <w:rsid w:val="008C5D03"/>
    <w:rsid w:val="008E23A9"/>
    <w:rsid w:val="008E76B9"/>
    <w:rsid w:val="008F3D7C"/>
    <w:rsid w:val="009033A8"/>
    <w:rsid w:val="009326A4"/>
    <w:rsid w:val="009458E2"/>
    <w:rsid w:val="009505C5"/>
    <w:rsid w:val="009C7482"/>
    <w:rsid w:val="00A064B1"/>
    <w:rsid w:val="00A143FC"/>
    <w:rsid w:val="00A216C8"/>
    <w:rsid w:val="00A959B3"/>
    <w:rsid w:val="00AB627A"/>
    <w:rsid w:val="00B27642"/>
    <w:rsid w:val="00B378AE"/>
    <w:rsid w:val="00B475AF"/>
    <w:rsid w:val="00B519A0"/>
    <w:rsid w:val="00BB41B0"/>
    <w:rsid w:val="00BD464E"/>
    <w:rsid w:val="00C56DBD"/>
    <w:rsid w:val="00C57B91"/>
    <w:rsid w:val="00C62F27"/>
    <w:rsid w:val="00C751CA"/>
    <w:rsid w:val="00C8263A"/>
    <w:rsid w:val="00CA509A"/>
    <w:rsid w:val="00CC5CBD"/>
    <w:rsid w:val="00CD0316"/>
    <w:rsid w:val="00CE6FCC"/>
    <w:rsid w:val="00D343F9"/>
    <w:rsid w:val="00D42F2C"/>
    <w:rsid w:val="00D51297"/>
    <w:rsid w:val="00D530AA"/>
    <w:rsid w:val="00D6716E"/>
    <w:rsid w:val="00D878EA"/>
    <w:rsid w:val="00D901A2"/>
    <w:rsid w:val="00DB131A"/>
    <w:rsid w:val="00DC1BFF"/>
    <w:rsid w:val="00E01BBD"/>
    <w:rsid w:val="00E254C6"/>
    <w:rsid w:val="00E35824"/>
    <w:rsid w:val="00EA4A61"/>
    <w:rsid w:val="00EF52EB"/>
    <w:rsid w:val="00F22815"/>
    <w:rsid w:val="00F43A83"/>
    <w:rsid w:val="00F5297B"/>
    <w:rsid w:val="00FF18A6"/>
    <w:rsid w:val="00FF41E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s-AR" w:eastAsia="en-US" w:bidi="ar-SA"/>
      </w:rPr>
    </w:rPrDefault>
    <w:pPrDefault>
      <w:pPr>
        <w:spacing w:before="120"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033A8"/>
    <w:pPr>
      <w:ind w:left="720"/>
      <w:contextualSpacing/>
    </w:pPr>
  </w:style>
  <w:style w:type="paragraph" w:styleId="Textonotapie">
    <w:name w:val="footnote text"/>
    <w:basedOn w:val="Normal"/>
    <w:link w:val="TextonotapieCar"/>
    <w:uiPriority w:val="99"/>
    <w:unhideWhenUsed/>
    <w:rsid w:val="00037609"/>
    <w:pPr>
      <w:spacing w:before="0" w:after="0"/>
    </w:pPr>
    <w:rPr>
      <w:sz w:val="20"/>
      <w:szCs w:val="20"/>
    </w:rPr>
  </w:style>
  <w:style w:type="character" w:customStyle="1" w:styleId="TextonotapieCar">
    <w:name w:val="Texto nota pie Car"/>
    <w:basedOn w:val="Fuentedeprrafopredeter"/>
    <w:link w:val="Textonotapie"/>
    <w:uiPriority w:val="99"/>
    <w:rsid w:val="00037609"/>
    <w:rPr>
      <w:sz w:val="20"/>
      <w:szCs w:val="20"/>
    </w:rPr>
  </w:style>
  <w:style w:type="character" w:styleId="Refdenotaalpie">
    <w:name w:val="footnote reference"/>
    <w:basedOn w:val="Fuentedeprrafopredeter"/>
    <w:uiPriority w:val="99"/>
    <w:semiHidden/>
    <w:unhideWhenUsed/>
    <w:rsid w:val="00037609"/>
    <w:rPr>
      <w:vertAlign w:val="superscript"/>
    </w:rPr>
  </w:style>
  <w:style w:type="paragraph" w:styleId="Encabezado">
    <w:name w:val="header"/>
    <w:basedOn w:val="Normal"/>
    <w:link w:val="EncabezadoCar"/>
    <w:uiPriority w:val="99"/>
    <w:unhideWhenUsed/>
    <w:rsid w:val="0074534E"/>
    <w:pPr>
      <w:tabs>
        <w:tab w:val="center" w:pos="4252"/>
        <w:tab w:val="right" w:pos="8504"/>
      </w:tabs>
      <w:spacing w:before="0" w:after="0"/>
    </w:pPr>
  </w:style>
  <w:style w:type="character" w:customStyle="1" w:styleId="EncabezadoCar">
    <w:name w:val="Encabezado Car"/>
    <w:basedOn w:val="Fuentedeprrafopredeter"/>
    <w:link w:val="Encabezado"/>
    <w:uiPriority w:val="99"/>
    <w:rsid w:val="0074534E"/>
  </w:style>
  <w:style w:type="paragraph" w:styleId="Piedepgina">
    <w:name w:val="footer"/>
    <w:basedOn w:val="Normal"/>
    <w:link w:val="PiedepginaCar"/>
    <w:uiPriority w:val="99"/>
    <w:unhideWhenUsed/>
    <w:rsid w:val="0074534E"/>
    <w:pPr>
      <w:tabs>
        <w:tab w:val="center" w:pos="4252"/>
        <w:tab w:val="right" w:pos="8504"/>
      </w:tabs>
      <w:spacing w:before="0" w:after="0"/>
    </w:pPr>
  </w:style>
  <w:style w:type="character" w:customStyle="1" w:styleId="PiedepginaCar">
    <w:name w:val="Pie de página Car"/>
    <w:basedOn w:val="Fuentedeprrafopredeter"/>
    <w:link w:val="Piedepgina"/>
    <w:uiPriority w:val="99"/>
    <w:rsid w:val="0074534E"/>
  </w:style>
  <w:style w:type="character" w:styleId="Hipervnculo">
    <w:name w:val="Hyperlink"/>
    <w:basedOn w:val="Fuentedeprrafopredeter"/>
    <w:uiPriority w:val="99"/>
    <w:unhideWhenUsed/>
    <w:rsid w:val="0036025C"/>
    <w:rPr>
      <w:color w:val="0000FF" w:themeColor="hyperlink"/>
      <w:u w:val="single"/>
    </w:rPr>
  </w:style>
  <w:style w:type="character" w:styleId="Textoennegrita">
    <w:name w:val="Strong"/>
    <w:basedOn w:val="Fuentedeprrafopredeter"/>
    <w:uiPriority w:val="22"/>
    <w:qFormat/>
    <w:rsid w:val="00DC1BF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s-AR" w:eastAsia="en-US" w:bidi="ar-SA"/>
      </w:rPr>
    </w:rPrDefault>
    <w:pPrDefault>
      <w:pPr>
        <w:spacing w:before="120"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033A8"/>
    <w:pPr>
      <w:ind w:left="720"/>
      <w:contextualSpacing/>
    </w:pPr>
  </w:style>
  <w:style w:type="paragraph" w:styleId="Textonotapie">
    <w:name w:val="footnote text"/>
    <w:basedOn w:val="Normal"/>
    <w:link w:val="TextonotapieCar"/>
    <w:uiPriority w:val="99"/>
    <w:unhideWhenUsed/>
    <w:rsid w:val="00037609"/>
    <w:pPr>
      <w:spacing w:before="0" w:after="0"/>
    </w:pPr>
    <w:rPr>
      <w:sz w:val="20"/>
      <w:szCs w:val="20"/>
    </w:rPr>
  </w:style>
  <w:style w:type="character" w:customStyle="1" w:styleId="TextonotapieCar">
    <w:name w:val="Texto nota pie Car"/>
    <w:basedOn w:val="Fuentedeprrafopredeter"/>
    <w:link w:val="Textonotapie"/>
    <w:uiPriority w:val="99"/>
    <w:rsid w:val="00037609"/>
    <w:rPr>
      <w:sz w:val="20"/>
      <w:szCs w:val="20"/>
    </w:rPr>
  </w:style>
  <w:style w:type="character" w:styleId="Refdenotaalpie">
    <w:name w:val="footnote reference"/>
    <w:basedOn w:val="Fuentedeprrafopredeter"/>
    <w:uiPriority w:val="99"/>
    <w:semiHidden/>
    <w:unhideWhenUsed/>
    <w:rsid w:val="00037609"/>
    <w:rPr>
      <w:vertAlign w:val="superscript"/>
    </w:rPr>
  </w:style>
  <w:style w:type="paragraph" w:styleId="Encabezado">
    <w:name w:val="header"/>
    <w:basedOn w:val="Normal"/>
    <w:link w:val="EncabezadoCar"/>
    <w:uiPriority w:val="99"/>
    <w:unhideWhenUsed/>
    <w:rsid w:val="0074534E"/>
    <w:pPr>
      <w:tabs>
        <w:tab w:val="center" w:pos="4252"/>
        <w:tab w:val="right" w:pos="8504"/>
      </w:tabs>
      <w:spacing w:before="0" w:after="0"/>
    </w:pPr>
  </w:style>
  <w:style w:type="character" w:customStyle="1" w:styleId="EncabezadoCar">
    <w:name w:val="Encabezado Car"/>
    <w:basedOn w:val="Fuentedeprrafopredeter"/>
    <w:link w:val="Encabezado"/>
    <w:uiPriority w:val="99"/>
    <w:rsid w:val="0074534E"/>
  </w:style>
  <w:style w:type="paragraph" w:styleId="Piedepgina">
    <w:name w:val="footer"/>
    <w:basedOn w:val="Normal"/>
    <w:link w:val="PiedepginaCar"/>
    <w:uiPriority w:val="99"/>
    <w:unhideWhenUsed/>
    <w:rsid w:val="0074534E"/>
    <w:pPr>
      <w:tabs>
        <w:tab w:val="center" w:pos="4252"/>
        <w:tab w:val="right" w:pos="8504"/>
      </w:tabs>
      <w:spacing w:before="0" w:after="0"/>
    </w:pPr>
  </w:style>
  <w:style w:type="character" w:customStyle="1" w:styleId="PiedepginaCar">
    <w:name w:val="Pie de página Car"/>
    <w:basedOn w:val="Fuentedeprrafopredeter"/>
    <w:link w:val="Piedepgina"/>
    <w:uiPriority w:val="99"/>
    <w:rsid w:val="0074534E"/>
  </w:style>
  <w:style w:type="character" w:styleId="Hipervnculo">
    <w:name w:val="Hyperlink"/>
    <w:basedOn w:val="Fuentedeprrafopredeter"/>
    <w:uiPriority w:val="99"/>
    <w:unhideWhenUsed/>
    <w:rsid w:val="0036025C"/>
    <w:rPr>
      <w:color w:val="0000FF" w:themeColor="hyperlink"/>
      <w:u w:val="single"/>
    </w:rPr>
  </w:style>
  <w:style w:type="character" w:styleId="Textoennegrita">
    <w:name w:val="Strong"/>
    <w:basedOn w:val="Fuentedeprrafopredeter"/>
    <w:uiPriority w:val="22"/>
    <w:qFormat/>
    <w:rsid w:val="00DC1B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753960">
      <w:bodyDiv w:val="1"/>
      <w:marLeft w:val="0"/>
      <w:marRight w:val="0"/>
      <w:marTop w:val="0"/>
      <w:marBottom w:val="0"/>
      <w:divBdr>
        <w:top w:val="none" w:sz="0" w:space="0" w:color="auto"/>
        <w:left w:val="none" w:sz="0" w:space="0" w:color="auto"/>
        <w:bottom w:val="none" w:sz="0" w:space="0" w:color="auto"/>
        <w:right w:val="none" w:sz="0" w:space="0" w:color="auto"/>
      </w:divBdr>
    </w:div>
    <w:div w:id="670987210">
      <w:bodyDiv w:val="1"/>
      <w:marLeft w:val="0"/>
      <w:marRight w:val="0"/>
      <w:marTop w:val="0"/>
      <w:marBottom w:val="0"/>
      <w:divBdr>
        <w:top w:val="none" w:sz="0" w:space="0" w:color="auto"/>
        <w:left w:val="none" w:sz="0" w:space="0" w:color="auto"/>
        <w:bottom w:val="none" w:sz="0" w:space="0" w:color="auto"/>
        <w:right w:val="none" w:sz="0" w:space="0" w:color="auto"/>
      </w:divBdr>
    </w:div>
    <w:div w:id="1003438627">
      <w:bodyDiv w:val="1"/>
      <w:marLeft w:val="0"/>
      <w:marRight w:val="0"/>
      <w:marTop w:val="0"/>
      <w:marBottom w:val="0"/>
      <w:divBdr>
        <w:top w:val="none" w:sz="0" w:space="0" w:color="auto"/>
        <w:left w:val="none" w:sz="0" w:space="0" w:color="auto"/>
        <w:bottom w:val="none" w:sz="0" w:space="0" w:color="auto"/>
        <w:right w:val="none" w:sz="0" w:space="0" w:color="auto"/>
      </w:divBdr>
    </w:div>
    <w:div w:id="1070618794">
      <w:bodyDiv w:val="1"/>
      <w:marLeft w:val="0"/>
      <w:marRight w:val="0"/>
      <w:marTop w:val="0"/>
      <w:marBottom w:val="0"/>
      <w:divBdr>
        <w:top w:val="none" w:sz="0" w:space="0" w:color="auto"/>
        <w:left w:val="none" w:sz="0" w:space="0" w:color="auto"/>
        <w:bottom w:val="none" w:sz="0" w:space="0" w:color="auto"/>
        <w:right w:val="none" w:sz="0" w:space="0" w:color="auto"/>
      </w:divBdr>
    </w:div>
    <w:div w:id="1206016971">
      <w:bodyDiv w:val="1"/>
      <w:marLeft w:val="0"/>
      <w:marRight w:val="0"/>
      <w:marTop w:val="0"/>
      <w:marBottom w:val="0"/>
      <w:divBdr>
        <w:top w:val="none" w:sz="0" w:space="0" w:color="auto"/>
        <w:left w:val="none" w:sz="0" w:space="0" w:color="auto"/>
        <w:bottom w:val="none" w:sz="0" w:space="0" w:color="auto"/>
        <w:right w:val="none" w:sz="0" w:space="0" w:color="auto"/>
      </w:divBdr>
    </w:div>
    <w:div w:id="1482845393">
      <w:bodyDiv w:val="1"/>
      <w:marLeft w:val="0"/>
      <w:marRight w:val="0"/>
      <w:marTop w:val="0"/>
      <w:marBottom w:val="0"/>
      <w:divBdr>
        <w:top w:val="none" w:sz="0" w:space="0" w:color="auto"/>
        <w:left w:val="none" w:sz="0" w:space="0" w:color="auto"/>
        <w:bottom w:val="none" w:sz="0" w:space="0" w:color="auto"/>
        <w:right w:val="none" w:sz="0" w:space="0" w:color="auto"/>
      </w:divBdr>
    </w:div>
    <w:div w:id="152046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onomia4punto0.wordpress.com/2019/12/19/la-relacion-del-pib-con-las-importaciones-1980-20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D9CE0-7211-451E-90E3-17F79950A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3</Pages>
  <Words>1523</Words>
  <Characters>8377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G</dc:creator>
  <cp:lastModifiedBy>Ricardo G</cp:lastModifiedBy>
  <cp:revision>11</cp:revision>
  <cp:lastPrinted>2024-08-28T15:10:00Z</cp:lastPrinted>
  <dcterms:created xsi:type="dcterms:W3CDTF">2024-09-26T15:24:00Z</dcterms:created>
  <dcterms:modified xsi:type="dcterms:W3CDTF">2024-09-30T14:45:00Z</dcterms:modified>
</cp:coreProperties>
</file>